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DB7A7" w14:textId="36A147ED" w:rsidR="002B6FA4" w:rsidRPr="00190590" w:rsidRDefault="002B6FA4" w:rsidP="00736701">
      <w:pPr>
        <w:pStyle w:val="FP"/>
        <w:tabs>
          <w:tab w:val="left" w:pos="567"/>
        </w:tabs>
        <w:rPr>
          <w:rFonts w:asciiTheme="minorBidi" w:hAnsiTheme="minorBidi" w:cstheme="minorBidi"/>
          <w:b/>
          <w:sz w:val="24"/>
          <w:szCs w:val="24"/>
        </w:rPr>
      </w:pPr>
      <w:bookmarkStart w:id="0" w:name="OLE_LINK1"/>
      <w:bookmarkStart w:id="1" w:name="OLE_LINK2"/>
      <w:r w:rsidRPr="008D2924">
        <w:rPr>
          <w:rFonts w:asciiTheme="minorBidi" w:hAnsiTheme="minorBidi" w:cstheme="minorBidi"/>
          <w:b/>
          <w:bCs/>
          <w:sz w:val="24"/>
          <w:szCs w:val="24"/>
        </w:rPr>
        <w:t>3GPP TSG-RAN Meeting #9</w:t>
      </w:r>
      <w:r w:rsidR="00DB27AE">
        <w:rPr>
          <w:rFonts w:asciiTheme="minorBidi" w:hAnsiTheme="minorBidi" w:cstheme="minorBidi"/>
          <w:b/>
          <w:bCs/>
          <w:sz w:val="24"/>
          <w:szCs w:val="24"/>
        </w:rPr>
        <w:t>1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-e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ab/>
        <w:t xml:space="preserve">                                     </w:t>
      </w:r>
      <w:r w:rsidR="00730D90" w:rsidRPr="00730D90">
        <w:rPr>
          <w:rFonts w:ascii="Arial" w:hAnsi="Arial" w:cs="Arial"/>
          <w:b/>
          <w:bCs/>
          <w:sz w:val="24"/>
          <w:szCs w:val="24"/>
        </w:rPr>
        <w:t>RP-210684</w:t>
      </w:r>
    </w:p>
    <w:p w14:paraId="611B792D" w14:textId="7F84CB6B" w:rsidR="002B6FA4" w:rsidRPr="008D2924" w:rsidRDefault="002B6FA4" w:rsidP="00736701">
      <w:pPr>
        <w:pStyle w:val="FP"/>
        <w:tabs>
          <w:tab w:val="left" w:pos="567"/>
        </w:tabs>
        <w:rPr>
          <w:rFonts w:asciiTheme="minorBidi" w:hAnsiTheme="minorBidi" w:cstheme="minorBidi"/>
          <w:b/>
          <w:sz w:val="24"/>
          <w:szCs w:val="24"/>
        </w:rPr>
      </w:pPr>
      <w:r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Electronic Meeting, </w:t>
      </w:r>
      <w:r w:rsidR="00DB27AE">
        <w:rPr>
          <w:rFonts w:asciiTheme="minorBidi" w:hAnsiTheme="minorBidi" w:cstheme="minorBidi"/>
          <w:b/>
          <w:bCs/>
          <w:sz w:val="24"/>
          <w:szCs w:val="24"/>
        </w:rPr>
        <w:t xml:space="preserve">March </w:t>
      </w:r>
      <w:r w:rsidR="00116A17">
        <w:rPr>
          <w:rFonts w:asciiTheme="minorBidi" w:hAnsiTheme="minorBidi" w:cstheme="minorBidi"/>
          <w:b/>
          <w:bCs/>
          <w:sz w:val="24"/>
          <w:szCs w:val="24"/>
        </w:rPr>
        <w:t>16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–</w:t>
      </w:r>
      <w:r w:rsidR="00DB27AE">
        <w:rPr>
          <w:rFonts w:asciiTheme="minorBidi" w:hAnsiTheme="minorBidi" w:cstheme="minorBidi"/>
          <w:b/>
          <w:bCs/>
          <w:sz w:val="24"/>
          <w:szCs w:val="24"/>
        </w:rPr>
        <w:t>26</w:t>
      </w:r>
      <w:r w:rsidR="0004532D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202</w:t>
      </w:r>
      <w:r w:rsidR="0004532D">
        <w:rPr>
          <w:rFonts w:asciiTheme="minorBidi" w:hAnsiTheme="minorBidi" w:cstheme="minorBidi"/>
          <w:b/>
          <w:bCs/>
          <w:sz w:val="24"/>
          <w:szCs w:val="24"/>
        </w:rPr>
        <w:t>1</w:t>
      </w:r>
      <w:r w:rsidRPr="008D2924">
        <w:rPr>
          <w:rFonts w:asciiTheme="minorBidi" w:hAnsiTheme="minorBidi" w:cstheme="minorBidi"/>
          <w:b/>
          <w:sz w:val="24"/>
          <w:szCs w:val="24"/>
        </w:rPr>
        <w:t xml:space="preserve"> </w:t>
      </w:r>
    </w:p>
    <w:p w14:paraId="7604A8C2" w14:textId="77777777"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57A42FFD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142809" w:rsidRPr="00142809">
        <w:rPr>
          <w:rFonts w:asciiTheme="minorBidi" w:eastAsia="Batang" w:hAnsiTheme="minorBidi"/>
          <w:b/>
          <w:lang w:val="en-GB" w:eastAsia="zh-CN"/>
        </w:rPr>
        <w:t>Views on importance of an NTN-IoT specification in Release 17</w:t>
      </w:r>
    </w:p>
    <w:p w14:paraId="27AC0F7A" w14:textId="56517E4E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F97A53">
        <w:rPr>
          <w:rFonts w:asciiTheme="minorBidi" w:eastAsia="Batang" w:hAnsiTheme="minorBidi"/>
          <w:b/>
          <w:lang w:val="en-GB" w:eastAsia="zh-CN"/>
        </w:rPr>
        <w:t>Inmarsat</w:t>
      </w:r>
      <w:r w:rsidR="00322B3C">
        <w:rPr>
          <w:rFonts w:asciiTheme="minorBidi" w:eastAsia="Batang" w:hAnsiTheme="minorBidi"/>
          <w:b/>
          <w:lang w:val="en-GB" w:eastAsia="zh-CN"/>
        </w:rPr>
        <w:t xml:space="preserve"> </w:t>
      </w:r>
    </w:p>
    <w:p w14:paraId="709C4E74" w14:textId="77777777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CA4A04">
        <w:rPr>
          <w:rFonts w:asciiTheme="minorBidi" w:eastAsia="Batang" w:hAnsiTheme="minorBidi"/>
          <w:b/>
          <w:lang w:val="en-GB" w:eastAsia="zh-CN"/>
        </w:rPr>
        <w:t>D</w:t>
      </w:r>
      <w:r w:rsidRPr="008D2924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52C6B283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57719B">
        <w:rPr>
          <w:rFonts w:asciiTheme="minorBidi" w:hAnsiTheme="minorBidi"/>
          <w:b/>
          <w:lang w:val="en-GB" w:eastAsia="zh-CN"/>
        </w:rPr>
        <w:t>D</w:t>
      </w:r>
      <w:r w:rsidR="001A61FF">
        <w:rPr>
          <w:rFonts w:asciiTheme="minorBidi" w:hAnsiTheme="minorBidi"/>
          <w:b/>
          <w:lang w:val="en-GB" w:eastAsia="zh-CN"/>
        </w:rPr>
        <w:t>iscussion</w:t>
      </w:r>
    </w:p>
    <w:p w14:paraId="7A01B982" w14:textId="77777777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0C10EA">
        <w:rPr>
          <w:rFonts w:asciiTheme="minorBidi" w:eastAsia="Batang" w:hAnsiTheme="minorBidi"/>
          <w:b/>
          <w:lang w:val="en-GB" w:eastAsia="zh-CN"/>
        </w:rPr>
        <w:t>11.8.2</w:t>
      </w:r>
    </w:p>
    <w:p w14:paraId="2F36ABDC" w14:textId="77777777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0"/>
    <w:bookmarkEnd w:id="1"/>
    <w:p w14:paraId="4956CDA7" w14:textId="77777777" w:rsidR="006A1A84" w:rsidRPr="008D2924" w:rsidRDefault="00DA0946" w:rsidP="00623D46">
      <w:pPr>
        <w:pStyle w:val="Heading1"/>
        <w:rPr>
          <w:rFonts w:asciiTheme="minorBidi" w:eastAsiaTheme="majorEastAsia" w:hAnsiTheme="minorBidi" w:cstheme="minorBidi"/>
        </w:rPr>
      </w:pPr>
      <w:r w:rsidRPr="008D2924">
        <w:rPr>
          <w:rFonts w:asciiTheme="minorBidi" w:eastAsiaTheme="majorEastAsia" w:hAnsiTheme="minorBidi" w:cstheme="minorBidi"/>
        </w:rPr>
        <w:t>Introduction</w:t>
      </w:r>
      <w:r w:rsidR="00374CD3">
        <w:rPr>
          <w:rFonts w:asciiTheme="minorBidi" w:eastAsiaTheme="majorEastAsia" w:hAnsiTheme="minorBidi" w:cstheme="minorBidi"/>
        </w:rPr>
        <w:t xml:space="preserve"> </w:t>
      </w:r>
    </w:p>
    <w:p w14:paraId="4A2C3181" w14:textId="474AA3CB" w:rsidR="00CA6B34" w:rsidRDefault="008052D1" w:rsidP="00CA6B34">
      <w:pPr>
        <w:spacing w:after="0"/>
        <w:rPr>
          <w:rFonts w:cstheme="minorHAnsi"/>
          <w:lang w:eastAsia="fr-FR"/>
        </w:rPr>
      </w:pPr>
      <w:r>
        <w:rPr>
          <w:rFonts w:cstheme="minorHAnsi"/>
          <w:lang w:eastAsia="fr-FR"/>
        </w:rPr>
        <w:t>With the present document we wa</w:t>
      </w:r>
      <w:bookmarkStart w:id="2" w:name="_GoBack"/>
      <w:bookmarkEnd w:id="2"/>
      <w:r>
        <w:rPr>
          <w:rFonts w:cstheme="minorHAnsi"/>
          <w:lang w:eastAsia="fr-FR"/>
        </w:rPr>
        <w:t>nt</w:t>
      </w:r>
      <w:r w:rsidR="00A44AEF">
        <w:rPr>
          <w:rFonts w:cstheme="minorHAnsi"/>
          <w:lang w:eastAsia="fr-FR"/>
        </w:rPr>
        <w:t xml:space="preserve"> to present Inmarsat views on</w:t>
      </w:r>
      <w:r>
        <w:rPr>
          <w:rFonts w:cstheme="minorHAnsi"/>
          <w:lang w:eastAsia="fr-FR"/>
        </w:rPr>
        <w:t xml:space="preserve"> the</w:t>
      </w:r>
      <w:r w:rsidR="000A63A6">
        <w:rPr>
          <w:rFonts w:cstheme="minorHAnsi"/>
          <w:lang w:eastAsia="fr-FR"/>
        </w:rPr>
        <w:t xml:space="preserve"> critical</w:t>
      </w:r>
      <w:r>
        <w:rPr>
          <w:rFonts w:cstheme="minorHAnsi"/>
          <w:lang w:eastAsia="fr-FR"/>
        </w:rPr>
        <w:t xml:space="preserve"> importance of a normative phase for NTN-IoT </w:t>
      </w:r>
      <w:r w:rsidR="00650A04">
        <w:rPr>
          <w:rFonts w:cstheme="minorHAnsi"/>
          <w:lang w:eastAsia="fr-FR"/>
        </w:rPr>
        <w:t xml:space="preserve">(IoT over Non-Terrestrial Networks) </w:t>
      </w:r>
      <w:r>
        <w:rPr>
          <w:rFonts w:cstheme="minorHAnsi"/>
          <w:lang w:eastAsia="fr-FR"/>
        </w:rPr>
        <w:t>within the timeframe of Release 17.</w:t>
      </w:r>
    </w:p>
    <w:p w14:paraId="3C37C27E" w14:textId="456B8DEC" w:rsidR="008052D1" w:rsidRDefault="008052D1" w:rsidP="00CA6B34">
      <w:pPr>
        <w:spacing w:after="0"/>
        <w:rPr>
          <w:rFonts w:cstheme="minorHAnsi"/>
          <w:lang w:eastAsia="fr-FR"/>
        </w:rPr>
      </w:pPr>
      <w:r w:rsidRPr="008052D1">
        <w:rPr>
          <w:rFonts w:cstheme="minorHAnsi"/>
          <w:lang w:eastAsia="fr-FR"/>
        </w:rPr>
        <w:t>The urgency to have an IoT NTN global standard was already explicitly expressed to 3GPP TSG RAN#86 in Sitges in December 2019 [1]</w:t>
      </w:r>
      <w:r>
        <w:rPr>
          <w:rFonts w:cstheme="minorHAnsi"/>
          <w:lang w:eastAsia="fr-FR"/>
        </w:rPr>
        <w:t>.</w:t>
      </w:r>
    </w:p>
    <w:p w14:paraId="2E210FE5" w14:textId="2D0CEE3B" w:rsidR="008052D1" w:rsidRDefault="00504F5D" w:rsidP="00CA6B34">
      <w:pPr>
        <w:spacing w:after="0"/>
        <w:rPr>
          <w:rFonts w:cstheme="minorHAnsi"/>
          <w:lang w:eastAsia="fr-FR"/>
        </w:rPr>
      </w:pPr>
      <w:r>
        <w:rPr>
          <w:rFonts w:cstheme="minorHAnsi"/>
          <w:lang w:eastAsia="fr-FR"/>
        </w:rPr>
        <w:t xml:space="preserve">Since then, the situation has been exacerbated by the global COVID-19 pandemic, which has introduced significant delays in the Release 17 schedule.  </w:t>
      </w:r>
      <w:r w:rsidR="0020036B">
        <w:rPr>
          <w:rFonts w:cstheme="minorHAnsi"/>
          <w:lang w:eastAsia="fr-FR"/>
        </w:rPr>
        <w:t xml:space="preserve"> </w:t>
      </w:r>
    </w:p>
    <w:p w14:paraId="70DA2174" w14:textId="42691C70" w:rsidR="0020036B" w:rsidRDefault="0020036B" w:rsidP="00CA6B34">
      <w:pPr>
        <w:spacing w:after="0"/>
        <w:rPr>
          <w:rFonts w:cstheme="minorHAnsi"/>
          <w:lang w:eastAsia="fr-FR"/>
        </w:rPr>
      </w:pPr>
      <w:r>
        <w:rPr>
          <w:rFonts w:cstheme="minorHAnsi"/>
          <w:lang w:eastAsia="fr-FR"/>
        </w:rPr>
        <w:t>Following the decision from September 2020 RAN #89-e, work on the Study Item activity has kicked off in November 2020 and since then there has been some good progress</w:t>
      </w:r>
      <w:r w:rsidR="007045F6">
        <w:rPr>
          <w:rFonts w:cstheme="minorHAnsi"/>
          <w:lang w:eastAsia="fr-FR"/>
        </w:rPr>
        <w:t xml:space="preserve"> [2]</w:t>
      </w:r>
      <w:r>
        <w:rPr>
          <w:rFonts w:cstheme="minorHAnsi"/>
          <w:lang w:eastAsia="fr-FR"/>
        </w:rPr>
        <w:t>.</w:t>
      </w:r>
    </w:p>
    <w:p w14:paraId="4E289632" w14:textId="797D94E5" w:rsidR="00F55B02" w:rsidRDefault="00F55B02" w:rsidP="00CA6B34">
      <w:pPr>
        <w:spacing w:after="0"/>
        <w:rPr>
          <w:rFonts w:cstheme="minorHAnsi"/>
          <w:lang w:eastAsia="fr-FR"/>
        </w:rPr>
      </w:pPr>
      <w:r>
        <w:rPr>
          <w:rFonts w:cstheme="minorHAnsi"/>
          <w:lang w:eastAsia="fr-FR"/>
        </w:rPr>
        <w:t>It is of utmost urgency to make sure RAN secures a normative phase for NTN-IoT with a Work Item within the Release 17 timeline.</w:t>
      </w:r>
    </w:p>
    <w:p w14:paraId="641C125E" w14:textId="20B29B6B" w:rsidR="0020036B" w:rsidRDefault="0020036B" w:rsidP="00CA6B34">
      <w:pPr>
        <w:spacing w:after="0"/>
        <w:rPr>
          <w:rFonts w:cstheme="minorHAnsi"/>
          <w:lang w:eastAsia="fr-FR"/>
        </w:rPr>
      </w:pPr>
    </w:p>
    <w:p w14:paraId="35D5E203" w14:textId="77777777" w:rsidR="00DA5C3C" w:rsidRPr="00DD1389" w:rsidRDefault="00801688">
      <w:pPr>
        <w:pStyle w:val="Heading1"/>
        <w:rPr>
          <w:rFonts w:eastAsiaTheme="majorEastAsia"/>
        </w:rPr>
      </w:pPr>
      <w:r>
        <w:rPr>
          <w:lang w:eastAsia="fr-FR"/>
        </w:rPr>
        <w:t>Discussion</w:t>
      </w:r>
      <w:r w:rsidR="007326A7" w:rsidRPr="00DD1389">
        <w:rPr>
          <w:rFonts w:eastAsiaTheme="majorEastAsia"/>
        </w:rPr>
        <w:t xml:space="preserve"> </w:t>
      </w:r>
    </w:p>
    <w:p w14:paraId="110492D4" w14:textId="4B3F0CC9" w:rsidR="00777422" w:rsidRDefault="00031C76" w:rsidP="00373E23">
      <w:pPr>
        <w:rPr>
          <w:rFonts w:cs="Arial"/>
        </w:rPr>
      </w:pPr>
      <w:bookmarkStart w:id="3" w:name="_Toc493127338"/>
      <w:r>
        <w:rPr>
          <w:rFonts w:cs="Arial"/>
        </w:rPr>
        <w:t>L</w:t>
      </w:r>
      <w:r w:rsidR="00777422">
        <w:rPr>
          <w:rFonts w:cs="Arial"/>
        </w:rPr>
        <w:t xml:space="preserve">ack of extensive coverage and international roaming </w:t>
      </w:r>
      <w:r w:rsidR="007A7616">
        <w:rPr>
          <w:rFonts w:cs="Arial"/>
        </w:rPr>
        <w:t>have been identified as some of the key issues</w:t>
      </w:r>
      <w:r>
        <w:rPr>
          <w:rFonts w:cs="Arial"/>
        </w:rPr>
        <w:t xml:space="preserve"> slowing down terrestrial 3GPP IoT adoption worldwide [5]</w:t>
      </w:r>
      <w:r w:rsidR="007A7616">
        <w:rPr>
          <w:rFonts w:cs="Arial"/>
        </w:rPr>
        <w:t xml:space="preserve">. </w:t>
      </w:r>
      <w:r>
        <w:rPr>
          <w:rFonts w:cs="Arial"/>
        </w:rPr>
        <w:t>NTN and in particular satellite has the potential to bridge this gap and thus propel global 3GPP IoT deployment.</w:t>
      </w:r>
      <w:r w:rsidR="0036301E">
        <w:rPr>
          <w:rFonts w:cs="Arial"/>
        </w:rPr>
        <w:t xml:space="preserve">  This has been highlighted multiple times by different groups, including NGMN [7].</w:t>
      </w:r>
    </w:p>
    <w:p w14:paraId="67AD94ED" w14:textId="012D76AB" w:rsidR="00FA508A" w:rsidRDefault="00FA508A" w:rsidP="00373E23">
      <w:pPr>
        <w:rPr>
          <w:rFonts w:cs="Arial"/>
        </w:rPr>
      </w:pPr>
      <w:r>
        <w:rPr>
          <w:rFonts w:cs="Arial"/>
          <w:b/>
        </w:rPr>
        <w:t>Observation</w:t>
      </w:r>
      <w:r w:rsidR="00CC3E95">
        <w:rPr>
          <w:rFonts w:cs="Arial"/>
          <w:b/>
        </w:rPr>
        <w:t xml:space="preserve"> 1</w:t>
      </w:r>
      <w:r>
        <w:rPr>
          <w:rFonts w:cs="Arial"/>
        </w:rPr>
        <w:t xml:space="preserve">:  Global coverage and international roaming have been identified by the IoT industry as key factors in driving global IoT adoption and lack of such capabilities has been identified as a blocker for global 3GPP IoT adoption.  </w:t>
      </w:r>
    </w:p>
    <w:p w14:paraId="5C46182B" w14:textId="482E3AAA" w:rsidR="00FA508A" w:rsidRDefault="00FA508A" w:rsidP="00373E23">
      <w:pPr>
        <w:rPr>
          <w:rFonts w:cs="Arial"/>
        </w:rPr>
      </w:pPr>
      <w:r>
        <w:rPr>
          <w:rFonts w:cs="Arial"/>
          <w:b/>
        </w:rPr>
        <w:t>Observation</w:t>
      </w:r>
      <w:r w:rsidR="00CC3E95">
        <w:rPr>
          <w:rFonts w:cs="Arial"/>
          <w:b/>
        </w:rPr>
        <w:t xml:space="preserve"> 2</w:t>
      </w:r>
      <w:r>
        <w:rPr>
          <w:rFonts w:cs="Arial"/>
          <w:b/>
        </w:rPr>
        <w:t xml:space="preserve">: </w:t>
      </w:r>
      <w:r>
        <w:rPr>
          <w:rFonts w:cs="Arial"/>
        </w:rPr>
        <w:t xml:space="preserve"> Satellite is particularly well-positioned to fill the coverage gap and provide international roaming to 3GPP IoT services.</w:t>
      </w:r>
    </w:p>
    <w:p w14:paraId="54FCB953" w14:textId="36DB4F8C" w:rsidR="00AC2E0E" w:rsidRDefault="00AC2E0E" w:rsidP="00373E23">
      <w:pPr>
        <w:rPr>
          <w:rFonts w:cs="Arial"/>
        </w:rPr>
      </w:pPr>
      <w:r>
        <w:rPr>
          <w:rFonts w:cs="Arial"/>
        </w:rPr>
        <w:t>S</w:t>
      </w:r>
      <w:r w:rsidRPr="00AC2E0E">
        <w:rPr>
          <w:rFonts w:cs="Arial"/>
        </w:rPr>
        <w:t xml:space="preserve">atellites exist </w:t>
      </w:r>
      <w:r w:rsidR="00AC5F03">
        <w:rPr>
          <w:rFonts w:cs="Arial"/>
        </w:rPr>
        <w:t>today</w:t>
      </w:r>
      <w:r>
        <w:rPr>
          <w:rFonts w:cs="Arial"/>
        </w:rPr>
        <w:t xml:space="preserve"> </w:t>
      </w:r>
      <w:r w:rsidRPr="00AC2E0E">
        <w:rPr>
          <w:rFonts w:cs="Arial"/>
        </w:rPr>
        <w:t xml:space="preserve">which are capable of providing nearly 100% geographical coverage across </w:t>
      </w:r>
      <w:r>
        <w:rPr>
          <w:rFonts w:cs="Arial"/>
        </w:rPr>
        <w:t>the planet for IoT applications</w:t>
      </w:r>
      <w:r w:rsidRPr="00AC2E0E">
        <w:rPr>
          <w:rFonts w:cs="Arial"/>
        </w:rPr>
        <w:t xml:space="preserve"> in frequencies that are </w:t>
      </w:r>
      <w:r>
        <w:rPr>
          <w:rFonts w:cs="Arial"/>
        </w:rPr>
        <w:t xml:space="preserve">already compatible with current 3GPP </w:t>
      </w:r>
      <w:r w:rsidRPr="00AC2E0E">
        <w:rPr>
          <w:rFonts w:cs="Arial"/>
        </w:rPr>
        <w:t xml:space="preserve">IoT </w:t>
      </w:r>
      <w:r>
        <w:rPr>
          <w:rFonts w:cs="Arial"/>
        </w:rPr>
        <w:t xml:space="preserve">standards. The existing fleet of Inmarsat L band satellites is an example of such capabilities, as they are already able to provide instant global coverage (with multiple layers of coverage at different elevation angles), full </w:t>
      </w:r>
      <w:r>
        <w:rPr>
          <w:rFonts w:cs="Arial"/>
        </w:rPr>
        <w:lastRenderedPageBreak/>
        <w:t>global mobility support and very flexible capacity allocation thanks to their dynamic digital payload capabilities.</w:t>
      </w:r>
    </w:p>
    <w:p w14:paraId="5D2B4579" w14:textId="60151902" w:rsidR="00AC2E0E" w:rsidRDefault="00AC2E0E" w:rsidP="00AC2E0E">
      <w:pPr>
        <w:jc w:val="center"/>
        <w:rPr>
          <w:rFonts w:cs="Arial"/>
        </w:rPr>
      </w:pPr>
      <w:r>
        <w:rPr>
          <w:noProof/>
          <w:lang w:val="en-GB" w:eastAsia="en-GB"/>
        </w:rPr>
        <w:drawing>
          <wp:inline distT="0" distB="0" distL="0" distR="0" wp14:anchorId="246D4AB4" wp14:editId="0FD7A13A">
            <wp:extent cx="4458970" cy="29909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0741" cy="2992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AB512" w14:textId="37B1316E" w:rsidR="00CA6622" w:rsidRDefault="00AC2E0E" w:rsidP="00CC3E95">
      <w:pPr>
        <w:rPr>
          <w:rFonts w:cs="Arial"/>
        </w:rPr>
      </w:pPr>
      <w:r>
        <w:rPr>
          <w:rFonts w:cs="Arial"/>
        </w:rPr>
        <w:t>The L band frequency is also particularly well-suited for IoT applications.  It is already within the 3GPP standard and provides high capacity, favorable link budget and very strong resiliency.</w:t>
      </w:r>
    </w:p>
    <w:p w14:paraId="6C4EC2AF" w14:textId="6E6BC5D6" w:rsidR="00142FFE" w:rsidRDefault="0020036B" w:rsidP="00373E23">
      <w:pPr>
        <w:rPr>
          <w:rFonts w:cs="Arial"/>
        </w:rPr>
      </w:pPr>
      <w:r>
        <w:rPr>
          <w:rFonts w:cs="Arial"/>
        </w:rPr>
        <w:t>Inmarsat satellites and systems already support a large variety of satellite IoT services</w:t>
      </w:r>
      <w:r w:rsidR="00FD5678">
        <w:rPr>
          <w:rFonts w:cs="Arial"/>
        </w:rPr>
        <w:t xml:space="preserve"> [8]</w:t>
      </w:r>
      <w:r>
        <w:rPr>
          <w:rFonts w:cs="Arial"/>
        </w:rPr>
        <w:t>,</w:t>
      </w:r>
      <w:r w:rsidR="00142FFE">
        <w:rPr>
          <w:rFonts w:cs="Arial"/>
        </w:rPr>
        <w:t xml:space="preserve"> largely, but not exclusively, via satellite-specific protocols and waveforms, and the overall demand for affordable and efficient satellite IoT services is increasing, as the users require global or quasi-global coverage.</w:t>
      </w:r>
    </w:p>
    <w:p w14:paraId="6AE4F227" w14:textId="3CAF4805" w:rsidR="00CA6622" w:rsidRDefault="00CA6622" w:rsidP="00373E23">
      <w:pPr>
        <w:rPr>
          <w:rFonts w:cs="Arial"/>
        </w:rPr>
      </w:pPr>
      <w:r w:rsidRPr="00CC3E95">
        <w:rPr>
          <w:rFonts w:cs="Arial"/>
        </w:rPr>
        <w:t>The investment in satellite is increasing and satellite technologies are becoming more and more accessible</w:t>
      </w:r>
      <w:r>
        <w:rPr>
          <w:rFonts w:cs="Arial"/>
        </w:rPr>
        <w:t xml:space="preserve"> and relevant to verticals.  Inmarsat themselves has already invested in more satellites to extend its capabilities [9].</w:t>
      </w:r>
    </w:p>
    <w:p w14:paraId="2AB07AF6" w14:textId="2AB07C4F" w:rsidR="00142FFE" w:rsidRDefault="00C03BB2" w:rsidP="00373E23">
      <w:pPr>
        <w:rPr>
          <w:rFonts w:cs="Arial"/>
        </w:rPr>
      </w:pPr>
      <w:r>
        <w:rPr>
          <w:rFonts w:cs="Arial"/>
        </w:rPr>
        <w:t>Inmarsat</w:t>
      </w:r>
      <w:r w:rsidR="00142FFE">
        <w:rPr>
          <w:rFonts w:cs="Arial"/>
        </w:rPr>
        <w:t xml:space="preserve"> also see</w:t>
      </w:r>
      <w:r w:rsidR="00142FFE" w:rsidRPr="00142FFE">
        <w:rPr>
          <w:rFonts w:cs="Arial"/>
        </w:rPr>
        <w:t xml:space="preserve"> </w:t>
      </w:r>
      <w:r w:rsidR="00142FFE">
        <w:rPr>
          <w:rFonts w:cs="Arial"/>
        </w:rPr>
        <w:t xml:space="preserve">ever </w:t>
      </w:r>
      <w:r w:rsidR="00142FFE" w:rsidRPr="00142FFE">
        <w:rPr>
          <w:rFonts w:cs="Arial"/>
        </w:rPr>
        <w:t xml:space="preserve">increasing demand from verticals for </w:t>
      </w:r>
      <w:r w:rsidR="00142FFE">
        <w:rPr>
          <w:rFonts w:cs="Arial"/>
        </w:rPr>
        <w:t xml:space="preserve">seamless </w:t>
      </w:r>
      <w:r w:rsidR="00142FFE" w:rsidRPr="00142FFE">
        <w:rPr>
          <w:rFonts w:cs="Arial"/>
        </w:rPr>
        <w:t xml:space="preserve">hybrid satellite-terrestrial IoT connectivity, particularly for low-bandwidth IoT messaging applications, for which NB-IoT is </w:t>
      </w:r>
      <w:r w:rsidR="00142FFE">
        <w:rPr>
          <w:rFonts w:cs="Arial"/>
        </w:rPr>
        <w:t>well suited.   Many</w:t>
      </w:r>
      <w:r w:rsidR="00142FFE" w:rsidRPr="00142FFE">
        <w:rPr>
          <w:rFonts w:cs="Arial"/>
        </w:rPr>
        <w:t xml:space="preserve"> of these use cases a</w:t>
      </w:r>
      <w:r w:rsidR="00142FFE">
        <w:rPr>
          <w:rFonts w:cs="Arial"/>
        </w:rPr>
        <w:t xml:space="preserve">re challenging or costly to address with </w:t>
      </w:r>
      <w:r w:rsidR="00142FFE" w:rsidRPr="00142FFE">
        <w:rPr>
          <w:rFonts w:cs="Arial"/>
        </w:rPr>
        <w:t xml:space="preserve">proprietary </w:t>
      </w:r>
      <w:r w:rsidR="00142FFE">
        <w:rPr>
          <w:rFonts w:cs="Arial"/>
        </w:rPr>
        <w:t>satellite-only</w:t>
      </w:r>
      <w:r w:rsidR="00142FFE" w:rsidRPr="00142FFE">
        <w:rPr>
          <w:rFonts w:cs="Arial"/>
        </w:rPr>
        <w:t xml:space="preserve"> solutions</w:t>
      </w:r>
      <w:r w:rsidR="00142FFE">
        <w:rPr>
          <w:rFonts w:cs="Arial"/>
        </w:rPr>
        <w:t xml:space="preserve">. </w:t>
      </w:r>
    </w:p>
    <w:p w14:paraId="6BE3F232" w14:textId="77777777" w:rsidR="00142FFE" w:rsidRDefault="00142FFE" w:rsidP="00373E23">
      <w:pPr>
        <w:rPr>
          <w:rFonts w:cs="Arial"/>
        </w:rPr>
      </w:pPr>
      <w:r>
        <w:rPr>
          <w:rFonts w:cs="Arial"/>
        </w:rPr>
        <w:t xml:space="preserve">Satisfying this demand requires low cost, </w:t>
      </w:r>
      <w:r w:rsidRPr="00142FFE">
        <w:rPr>
          <w:rFonts w:cs="Arial"/>
        </w:rPr>
        <w:t xml:space="preserve">small size IoT UEs with highly-integrated </w:t>
      </w:r>
      <w:r>
        <w:rPr>
          <w:rFonts w:cs="Arial"/>
        </w:rPr>
        <w:t>terrestrial-satellite capability. Therefore,</w:t>
      </w:r>
      <w:r w:rsidRPr="00142FFE">
        <w:rPr>
          <w:rFonts w:cs="Arial"/>
        </w:rPr>
        <w:t xml:space="preserve"> a common</w:t>
      </w:r>
      <w:r>
        <w:rPr>
          <w:rFonts w:cs="Arial"/>
        </w:rPr>
        <w:t>, standards-based</w:t>
      </w:r>
      <w:r w:rsidRPr="00142FFE">
        <w:rPr>
          <w:rFonts w:cs="Arial"/>
        </w:rPr>
        <w:t xml:space="preserve"> protocol is important to simplify the UE stack and leverage mass market economie</w:t>
      </w:r>
      <w:r>
        <w:rPr>
          <w:rFonts w:cs="Arial"/>
        </w:rPr>
        <w:t xml:space="preserve">s as well as easy accessibility of the technologies to verticals.   </w:t>
      </w:r>
    </w:p>
    <w:p w14:paraId="4F9DA8FB" w14:textId="17FAE4B3" w:rsidR="00C03BB2" w:rsidRDefault="00C03BB2" w:rsidP="00373E23">
      <w:pPr>
        <w:rPr>
          <w:rFonts w:cs="Arial"/>
        </w:rPr>
      </w:pPr>
      <w:r>
        <w:rPr>
          <w:rFonts w:cs="Arial"/>
        </w:rPr>
        <w:t>These views have been shared by other key IoT vertical</w:t>
      </w:r>
      <w:r w:rsidR="00F967F7">
        <w:rPr>
          <w:rFonts w:cs="Arial"/>
        </w:rPr>
        <w:t xml:space="preserve">s, </w:t>
      </w:r>
      <w:r>
        <w:rPr>
          <w:rFonts w:cs="Arial"/>
        </w:rPr>
        <w:t>who have also stressed the critical importance for a solution within the Release 17 timeframe</w:t>
      </w:r>
      <w:r w:rsidR="00F967F7">
        <w:rPr>
          <w:rFonts w:cs="Arial"/>
        </w:rPr>
        <w:t xml:space="preserve"> and for the focus on a subset of minimal features</w:t>
      </w:r>
      <w:r>
        <w:rPr>
          <w:rFonts w:cs="Arial"/>
        </w:rPr>
        <w:t xml:space="preserve"> [6].</w:t>
      </w:r>
    </w:p>
    <w:p w14:paraId="1194C7BA" w14:textId="1326168F" w:rsidR="00FA508A" w:rsidRPr="00FA508A" w:rsidRDefault="00FA508A" w:rsidP="00373E23">
      <w:r>
        <w:rPr>
          <w:rFonts w:cs="Arial"/>
          <w:b/>
        </w:rPr>
        <w:t>Observation</w:t>
      </w:r>
      <w:r w:rsidR="005828E8">
        <w:rPr>
          <w:rFonts w:cs="Arial"/>
          <w:b/>
        </w:rPr>
        <w:t xml:space="preserve"> 3</w:t>
      </w:r>
      <w:r>
        <w:rPr>
          <w:rFonts w:cs="Arial"/>
          <w:b/>
        </w:rPr>
        <w:t>:</w:t>
      </w:r>
      <w:r>
        <w:rPr>
          <w:b/>
        </w:rPr>
        <w:t xml:space="preserve"> </w:t>
      </w:r>
      <w:r>
        <w:t>The need and urgency for a 3GPP-standard hybrid satellite-terrestrial IoT solution within Release 17 has been expressed by MNOs, satellite operators and verticals alike.</w:t>
      </w:r>
    </w:p>
    <w:p w14:paraId="47D9BF91" w14:textId="1F1DBA9B" w:rsidR="00F55B02" w:rsidRDefault="00142FFE" w:rsidP="00373E23">
      <w:pPr>
        <w:rPr>
          <w:rFonts w:cs="Arial"/>
        </w:rPr>
      </w:pPr>
      <w:r>
        <w:rPr>
          <w:rFonts w:cs="Arial"/>
        </w:rPr>
        <w:t>A 3GPP standardized solution for NTN-IoT, particularly such as NB-IoT</w:t>
      </w:r>
      <w:r w:rsidR="00F55B02">
        <w:rPr>
          <w:rFonts w:cs="Arial"/>
        </w:rPr>
        <w:t xml:space="preserve"> for tracking and messaging applications</w:t>
      </w:r>
      <w:r>
        <w:rPr>
          <w:rFonts w:cs="Arial"/>
        </w:rPr>
        <w:t>, is uniquely positioned to address this market need</w:t>
      </w:r>
      <w:r w:rsidR="00F55B02">
        <w:rPr>
          <w:rFonts w:cs="Arial"/>
        </w:rPr>
        <w:t xml:space="preserve"> and would create a massive boost to CIoT adoption overall, thus producing huge benefits to IoT verticals, IoT service providers, satellite and </w:t>
      </w:r>
      <w:r w:rsidR="00F55B02">
        <w:rPr>
          <w:rFonts w:cs="Arial"/>
        </w:rPr>
        <w:lastRenderedPageBreak/>
        <w:t>terrestrial MNOs alike</w:t>
      </w:r>
      <w:r>
        <w:rPr>
          <w:rFonts w:cs="Arial"/>
        </w:rPr>
        <w:t xml:space="preserve"> – imagine if every new NB-IoT UE sold on the market came out of the box with the capability to connect to a satellite anywhere in the world, anytime.</w:t>
      </w:r>
    </w:p>
    <w:p w14:paraId="52252439" w14:textId="62E19787" w:rsidR="00777422" w:rsidRDefault="002377F3" w:rsidP="00373E23">
      <w:pPr>
        <w:rPr>
          <w:rFonts w:cs="Arial"/>
        </w:rPr>
      </w:pPr>
      <w:r w:rsidRPr="00777422">
        <w:rPr>
          <w:rFonts w:cs="Arial"/>
        </w:rPr>
        <w:t xml:space="preserve">A recent public trial conducted jointly by Inmarsat, MediaTek and Taiwan’s Institute for Information Industry has validated </w:t>
      </w:r>
      <w:r w:rsidR="007D493C" w:rsidRPr="00777422">
        <w:rPr>
          <w:rFonts w:cs="Arial"/>
        </w:rPr>
        <w:t xml:space="preserve">NB-IoT with key protocol enhancements and adaptations </w:t>
      </w:r>
      <w:r w:rsidR="00DE474E">
        <w:rPr>
          <w:rFonts w:cs="Arial"/>
        </w:rPr>
        <w:t xml:space="preserve">currently </w:t>
      </w:r>
      <w:r w:rsidR="007D493C" w:rsidRPr="00777422">
        <w:rPr>
          <w:rFonts w:cs="Arial"/>
        </w:rPr>
        <w:t>proposed in the Rel</w:t>
      </w:r>
      <w:r w:rsidR="002737C7">
        <w:rPr>
          <w:rFonts w:cs="Arial"/>
        </w:rPr>
        <w:t>ease</w:t>
      </w:r>
      <w:r w:rsidR="007D493C" w:rsidRPr="00777422">
        <w:rPr>
          <w:rFonts w:cs="Arial"/>
        </w:rPr>
        <w:t xml:space="preserve"> 17 IoT NTN SI by achieving successful bi-directional link and full RACH procedure </w:t>
      </w:r>
      <w:r w:rsidR="002737C7">
        <w:rPr>
          <w:rFonts w:cs="Arial"/>
        </w:rPr>
        <w:t>based on a</w:t>
      </w:r>
      <w:r w:rsidR="007D493C" w:rsidRPr="00777422">
        <w:rPr>
          <w:rFonts w:cs="Arial"/>
        </w:rPr>
        <w:t xml:space="preserve"> Rel</w:t>
      </w:r>
      <w:r w:rsidR="002737C7">
        <w:rPr>
          <w:rFonts w:cs="Arial"/>
        </w:rPr>
        <w:t xml:space="preserve">ease </w:t>
      </w:r>
      <w:r w:rsidR="007D493C" w:rsidRPr="00777422">
        <w:rPr>
          <w:rFonts w:cs="Arial"/>
        </w:rPr>
        <w:t>13 NB-IoT UE, III’s NB-IoT eNB over Inmarsat live GEO satellite in L band (Inmarsat-4A “Alphasat”) [2].</w:t>
      </w:r>
      <w:r w:rsidR="00777422">
        <w:rPr>
          <w:rFonts w:cs="Arial"/>
        </w:rPr>
        <w:t xml:space="preserve">  The results of the trial have been submitted to 3GPP RAN </w:t>
      </w:r>
      <w:r w:rsidR="00777422" w:rsidRPr="00777422">
        <w:rPr>
          <w:rFonts w:cs="Arial"/>
        </w:rPr>
        <w:t>[3]</w:t>
      </w:r>
      <w:r w:rsidR="00777422">
        <w:rPr>
          <w:rFonts w:cs="Arial"/>
        </w:rPr>
        <w:t xml:space="preserve">.  </w:t>
      </w:r>
    </w:p>
    <w:p w14:paraId="434B05D2" w14:textId="373C201E" w:rsidR="00A0667E" w:rsidRDefault="00A0667E" w:rsidP="00A0667E">
      <w:pPr>
        <w:jc w:val="center"/>
        <w:rPr>
          <w:rFonts w:cs="Arial"/>
        </w:rPr>
      </w:pPr>
      <w:r>
        <w:rPr>
          <w:noProof/>
          <w:lang w:val="en-GB" w:eastAsia="en-GB"/>
        </w:rPr>
        <w:drawing>
          <wp:inline distT="0" distB="0" distL="0" distR="0" wp14:anchorId="18A8F824" wp14:editId="45F57ADE">
            <wp:extent cx="4801870" cy="3136228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5879" cy="31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29081" w14:textId="7A20CD42" w:rsidR="00B3743F" w:rsidRDefault="00B3743F" w:rsidP="00373E23">
      <w:pPr>
        <w:rPr>
          <w:rFonts w:cs="Arial"/>
        </w:rPr>
      </w:pPr>
      <w:r>
        <w:rPr>
          <w:rFonts w:cs="Arial"/>
        </w:rPr>
        <w:t>Furthermore, our live trial results and analysis so far of the various 3GPP IoT protocols indicate that NB-IoT is particularly well-suited for deployment over NTN, already on existing GEO and small-LEO systems, due to its very flexible and granular resource configuration and its very small resource allocation requirements</w:t>
      </w:r>
      <w:r w:rsidR="00777422">
        <w:rPr>
          <w:rFonts w:cs="Arial"/>
        </w:rPr>
        <w:t>.</w:t>
      </w:r>
      <w:r>
        <w:rPr>
          <w:rFonts w:cs="Arial"/>
        </w:rPr>
        <w:t xml:space="preserve">  </w:t>
      </w:r>
    </w:p>
    <w:p w14:paraId="4FB17AA5" w14:textId="46B1E63D" w:rsidR="00917DA3" w:rsidRPr="00917DA3" w:rsidRDefault="00917DA3" w:rsidP="00373E23">
      <w:pPr>
        <w:rPr>
          <w:rFonts w:cs="Arial"/>
        </w:rPr>
      </w:pPr>
      <w:r>
        <w:rPr>
          <w:rFonts w:cs="Arial"/>
          <w:b/>
        </w:rPr>
        <w:t>Observation</w:t>
      </w:r>
      <w:r w:rsidR="005828E8">
        <w:rPr>
          <w:rFonts w:cs="Arial"/>
          <w:b/>
        </w:rPr>
        <w:t xml:space="preserve"> 4</w:t>
      </w:r>
      <w:r>
        <w:rPr>
          <w:rFonts w:cs="Arial"/>
          <w:b/>
        </w:rPr>
        <w:t>:</w:t>
      </w:r>
      <w:r>
        <w:rPr>
          <w:rFonts w:cs="Arial"/>
        </w:rPr>
        <w:t xml:space="preserve"> Based on the results of public live trials conducted in the summer of 2020, NTN adaptations for NB-IoT currently proposed for Release 17 have been validated on existing GEO transparent </w:t>
      </w:r>
      <w:r w:rsidR="0078219D">
        <w:rPr>
          <w:rFonts w:cs="Arial"/>
        </w:rPr>
        <w:t xml:space="preserve">L-band </w:t>
      </w:r>
      <w:r>
        <w:rPr>
          <w:rFonts w:cs="Arial"/>
        </w:rPr>
        <w:t>satellites.</w:t>
      </w:r>
      <w:r w:rsidR="00CC3E95">
        <w:rPr>
          <w:rFonts w:cs="Arial"/>
        </w:rPr>
        <w:t xml:space="preserve"> Demonstrating that minimal specification change is required in NB-IoT to support NTN.</w:t>
      </w:r>
    </w:p>
    <w:p w14:paraId="43C35328" w14:textId="19438220" w:rsidR="00B3743F" w:rsidRPr="00B3743F" w:rsidRDefault="00B3743F" w:rsidP="00373E23">
      <w:r>
        <w:rPr>
          <w:rFonts w:cs="Arial"/>
          <w:b/>
        </w:rPr>
        <w:t>Observation</w:t>
      </w:r>
      <w:r w:rsidR="005828E8">
        <w:rPr>
          <w:rFonts w:cs="Arial"/>
          <w:b/>
        </w:rPr>
        <w:t xml:space="preserve"> 5</w:t>
      </w:r>
      <w:r>
        <w:rPr>
          <w:rFonts w:cs="Arial"/>
          <w:b/>
        </w:rPr>
        <w:t>:</w:t>
      </w:r>
      <w:r>
        <w:rPr>
          <w:b/>
        </w:rPr>
        <w:t xml:space="preserve"> </w:t>
      </w:r>
      <w:r w:rsidR="00917DA3">
        <w:t>Based on analysis and results from public trials</w:t>
      </w:r>
      <w:r>
        <w:t xml:space="preserve"> NB-IoT is the best suited for satellite deployment on both existing and upcoming satellites</w:t>
      </w:r>
      <w:r w:rsidR="00917DA3">
        <w:t>, among the current 5G IoT protocols,</w:t>
      </w:r>
      <w:r>
        <w:t xml:space="preserve"> thanks to its flexible and granular radio resource configuration and its very small resource allocation requirements.</w:t>
      </w:r>
    </w:p>
    <w:p w14:paraId="53A85C13" w14:textId="4DE3C191" w:rsidR="002A5BCC" w:rsidRDefault="007D493C" w:rsidP="00777422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 w:rsidRPr="00777422">
        <w:rPr>
          <w:rFonts w:asciiTheme="minorHAnsi" w:hAnsiTheme="minorHAnsi" w:cs="Arial"/>
          <w:bCs/>
          <w:sz w:val="22"/>
        </w:rPr>
        <w:lastRenderedPageBreak/>
        <w:t>Observatio</w:t>
      </w:r>
      <w:r w:rsidR="00C63DCB" w:rsidRPr="00777422">
        <w:rPr>
          <w:rFonts w:asciiTheme="minorHAnsi" w:hAnsiTheme="minorHAnsi" w:cs="Arial"/>
          <w:bCs/>
          <w:sz w:val="22"/>
        </w:rPr>
        <w:t>n</w:t>
      </w:r>
      <w:r w:rsidR="005828E8">
        <w:rPr>
          <w:rFonts w:asciiTheme="minorHAnsi" w:hAnsiTheme="minorHAnsi" w:cs="Arial"/>
          <w:bCs/>
          <w:sz w:val="22"/>
        </w:rPr>
        <w:t xml:space="preserve"> 6</w:t>
      </w:r>
      <w:r w:rsidRPr="00777422">
        <w:rPr>
          <w:rFonts w:asciiTheme="minorHAnsi" w:hAnsiTheme="minorHAnsi" w:cs="Arial"/>
          <w:bCs/>
          <w:sz w:val="22"/>
        </w:rPr>
        <w:t xml:space="preserve">:  </w:t>
      </w:r>
      <w:r w:rsidR="00C63DCB" w:rsidRPr="00777422">
        <w:rPr>
          <w:rFonts w:asciiTheme="minorHAnsi" w:hAnsiTheme="minorHAnsi" w:cs="Arial"/>
          <w:b w:val="0"/>
          <w:bCs/>
          <w:sz w:val="22"/>
        </w:rPr>
        <w:t>Some of the key NB-IoT protocol enhancements and adaptations for NTN proposed for Release 17 have been validated on a</w:t>
      </w:r>
      <w:r w:rsidR="00777422">
        <w:rPr>
          <w:rFonts w:asciiTheme="minorHAnsi" w:hAnsiTheme="minorHAnsi" w:cs="Arial"/>
          <w:b w:val="0"/>
          <w:bCs/>
          <w:sz w:val="22"/>
        </w:rPr>
        <w:t>n existing</w:t>
      </w:r>
      <w:r w:rsidR="00C63DCB" w:rsidRPr="00777422">
        <w:rPr>
          <w:rFonts w:asciiTheme="minorHAnsi" w:hAnsiTheme="minorHAnsi" w:cs="Arial"/>
          <w:b w:val="0"/>
          <w:bCs/>
          <w:sz w:val="22"/>
        </w:rPr>
        <w:t xml:space="preserve"> live Inmarsat GEO </w:t>
      </w:r>
      <w:r w:rsidR="00777422">
        <w:rPr>
          <w:rFonts w:asciiTheme="minorHAnsi" w:hAnsiTheme="minorHAnsi" w:cs="Arial"/>
          <w:b w:val="0"/>
          <w:bCs/>
          <w:sz w:val="22"/>
        </w:rPr>
        <w:t xml:space="preserve">L band </w:t>
      </w:r>
      <w:r w:rsidR="00C63DCB" w:rsidRPr="00777422">
        <w:rPr>
          <w:rFonts w:asciiTheme="minorHAnsi" w:hAnsiTheme="minorHAnsi" w:cs="Arial"/>
          <w:b w:val="0"/>
          <w:bCs/>
          <w:sz w:val="22"/>
        </w:rPr>
        <w:t>satellite and with a standard MediaTek NB-IoT UE in a public trial.</w:t>
      </w:r>
    </w:p>
    <w:p w14:paraId="7555D448" w14:textId="6A6CE723" w:rsidR="00970828" w:rsidRDefault="007A7616" w:rsidP="007A7616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 w:val="0"/>
          <w:bCs/>
          <w:sz w:val="22"/>
        </w:rPr>
        <w:t>It is of course clear that, in order for mass-market hybrid satellite-terrestrial IoT to be successful, a</w:t>
      </w:r>
      <w:r w:rsidRPr="007A7616">
        <w:rPr>
          <w:rFonts w:asciiTheme="minorHAnsi" w:hAnsiTheme="minorHAnsi" w:cs="Arial"/>
          <w:b w:val="0"/>
          <w:bCs/>
          <w:sz w:val="22"/>
        </w:rPr>
        <w:t xml:space="preserve"> </w:t>
      </w:r>
      <w:r>
        <w:rPr>
          <w:rFonts w:asciiTheme="minorHAnsi" w:hAnsiTheme="minorHAnsi" w:cs="Arial"/>
          <w:b w:val="0"/>
          <w:bCs/>
          <w:sz w:val="22"/>
        </w:rPr>
        <w:t>spectral efficiency will also be of key importance for the standard, in order to</w:t>
      </w:r>
      <w:r w:rsidRPr="007A7616">
        <w:rPr>
          <w:rFonts w:asciiTheme="minorHAnsi" w:hAnsiTheme="minorHAnsi" w:cs="Arial"/>
          <w:b w:val="0"/>
          <w:bCs/>
          <w:sz w:val="22"/>
        </w:rPr>
        <w:t xml:space="preserve"> make</w:t>
      </w:r>
      <w:r>
        <w:rPr>
          <w:rFonts w:asciiTheme="minorHAnsi" w:hAnsiTheme="minorHAnsi" w:cs="Arial"/>
          <w:b w:val="0"/>
          <w:bCs/>
          <w:sz w:val="22"/>
        </w:rPr>
        <w:t xml:space="preserve"> the deployment c</w:t>
      </w:r>
      <w:r w:rsidRPr="007A7616">
        <w:rPr>
          <w:rFonts w:asciiTheme="minorHAnsi" w:hAnsiTheme="minorHAnsi" w:cs="Arial"/>
          <w:b w:val="0"/>
          <w:bCs/>
          <w:sz w:val="22"/>
        </w:rPr>
        <w:t>osts sustainable by satellite operators</w:t>
      </w:r>
      <w:r>
        <w:rPr>
          <w:rFonts w:asciiTheme="minorHAnsi" w:hAnsiTheme="minorHAnsi" w:cs="Arial"/>
          <w:b w:val="0"/>
          <w:bCs/>
          <w:sz w:val="22"/>
        </w:rPr>
        <w:t xml:space="preserve"> (GSO and NGSO alike) and thus the service affordable by customers in </w:t>
      </w:r>
      <w:r w:rsidRPr="007A7616">
        <w:rPr>
          <w:rFonts w:asciiTheme="minorHAnsi" w:hAnsiTheme="minorHAnsi" w:cs="Arial"/>
          <w:b w:val="0"/>
          <w:bCs/>
          <w:sz w:val="22"/>
        </w:rPr>
        <w:t>IoT verticals</w:t>
      </w:r>
      <w:r>
        <w:rPr>
          <w:rFonts w:asciiTheme="minorHAnsi" w:hAnsiTheme="minorHAnsi" w:cs="Arial"/>
          <w:b w:val="0"/>
          <w:bCs/>
          <w:sz w:val="22"/>
        </w:rPr>
        <w:t>.  This would also allow emergence of</w:t>
      </w:r>
      <w:r w:rsidRPr="007A7616">
        <w:rPr>
          <w:rFonts w:asciiTheme="minorHAnsi" w:hAnsiTheme="minorHAnsi" w:cs="Arial"/>
          <w:b w:val="0"/>
          <w:bCs/>
          <w:sz w:val="22"/>
        </w:rPr>
        <w:t xml:space="preserve"> new players in the market that want to start small and grow t</w:t>
      </w:r>
      <w:r>
        <w:rPr>
          <w:rFonts w:asciiTheme="minorHAnsi" w:hAnsiTheme="minorHAnsi" w:cs="Arial"/>
          <w:b w:val="0"/>
          <w:bCs/>
          <w:sz w:val="22"/>
        </w:rPr>
        <w:t>o provide a sustainable service by partnering with both NTN and TN operators.</w:t>
      </w:r>
      <w:r w:rsidR="00970828">
        <w:rPr>
          <w:rFonts w:asciiTheme="minorHAnsi" w:hAnsiTheme="minorHAnsi" w:cs="Arial"/>
          <w:b w:val="0"/>
          <w:bCs/>
          <w:sz w:val="22"/>
        </w:rPr>
        <w:t xml:space="preserve">  </w:t>
      </w:r>
      <w:r w:rsidR="003A4711">
        <w:rPr>
          <w:rFonts w:asciiTheme="minorHAnsi" w:hAnsiTheme="minorHAnsi" w:cs="Arial"/>
          <w:b w:val="0"/>
          <w:bCs/>
          <w:sz w:val="22"/>
        </w:rPr>
        <w:t>Thus</w:t>
      </w:r>
      <w:r w:rsidR="00970828">
        <w:rPr>
          <w:rFonts w:asciiTheme="minorHAnsi" w:hAnsiTheme="minorHAnsi" w:cs="Arial"/>
          <w:b w:val="0"/>
          <w:bCs/>
          <w:sz w:val="22"/>
        </w:rPr>
        <w:t xml:space="preserve"> 3GPP RAN should prioritise standardization efforts in this sense.</w:t>
      </w:r>
    </w:p>
    <w:p w14:paraId="3F62DE13" w14:textId="47BECF38" w:rsidR="00CD040E" w:rsidRDefault="00CD040E" w:rsidP="007A7616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Cs/>
          <w:sz w:val="22"/>
        </w:rPr>
        <w:t xml:space="preserve">Observation 7: </w:t>
      </w:r>
      <w:r>
        <w:rPr>
          <w:rFonts w:asciiTheme="minorHAnsi" w:hAnsiTheme="minorHAnsi" w:cs="Arial"/>
          <w:b w:val="0"/>
          <w:bCs/>
          <w:sz w:val="22"/>
        </w:rPr>
        <w:t>Spectral efficiency of the NTN-IoT solution over existing and in-deployment satellite constellations is of paramount importance for sustainability and affordability of the solution by operators, verticals and users.</w:t>
      </w:r>
    </w:p>
    <w:p w14:paraId="24ACFF8A" w14:textId="7D9B2CB9" w:rsidR="00CD040E" w:rsidRPr="00CD040E" w:rsidRDefault="00CD040E" w:rsidP="007A7616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Cs/>
          <w:sz w:val="22"/>
        </w:rPr>
        <w:t xml:space="preserve">Observation 8: </w:t>
      </w:r>
      <w:r>
        <w:rPr>
          <w:rFonts w:asciiTheme="minorHAnsi" w:hAnsiTheme="minorHAnsi" w:cs="Arial"/>
          <w:b w:val="0"/>
          <w:bCs/>
          <w:sz w:val="22"/>
        </w:rPr>
        <w:t>Power and battery life efficiency of the UEs is also crucially important for an integrated satellite-terrestrial 3GPP IoT solution.</w:t>
      </w:r>
    </w:p>
    <w:p w14:paraId="2F89BE15" w14:textId="1D265DE1" w:rsidR="007A7616" w:rsidRDefault="007A7616" w:rsidP="00777422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 w:val="0"/>
          <w:bCs/>
          <w:sz w:val="22"/>
        </w:rPr>
        <w:t>However, for all of the above to happen, it is of foremost importance that a working IoT NTN standard is specified as soon as possible, certainly within the Release 17 timeframe.</w:t>
      </w:r>
    </w:p>
    <w:p w14:paraId="6A6D76D2" w14:textId="05C9593E" w:rsidR="00A06C49" w:rsidRDefault="00A06C49" w:rsidP="00777422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Cs/>
          <w:sz w:val="22"/>
        </w:rPr>
        <w:t>Observation</w:t>
      </w:r>
      <w:r w:rsidR="00CD040E">
        <w:rPr>
          <w:rFonts w:asciiTheme="minorHAnsi" w:hAnsiTheme="minorHAnsi" w:cs="Arial"/>
          <w:bCs/>
          <w:sz w:val="22"/>
        </w:rPr>
        <w:t xml:space="preserve"> 9</w:t>
      </w:r>
      <w:r>
        <w:rPr>
          <w:rFonts w:asciiTheme="minorHAnsi" w:hAnsiTheme="minorHAnsi" w:cs="Arial"/>
          <w:bCs/>
          <w:sz w:val="22"/>
        </w:rPr>
        <w:t xml:space="preserve">:  </w:t>
      </w:r>
      <w:r>
        <w:rPr>
          <w:rFonts w:asciiTheme="minorHAnsi" w:hAnsiTheme="minorHAnsi" w:cs="Arial"/>
          <w:b w:val="0"/>
          <w:bCs/>
          <w:sz w:val="22"/>
        </w:rPr>
        <w:t>A minimum working solution for NTN-IoT within Release 17 is the absolute minimum requirement and prerequisite for adoption and any further optimizations.</w:t>
      </w:r>
    </w:p>
    <w:p w14:paraId="3A268B3D" w14:textId="4D2E2852" w:rsidR="00CC3E95" w:rsidRPr="00A06C49" w:rsidRDefault="00CC3E95" w:rsidP="00777422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  <w:r>
        <w:rPr>
          <w:rFonts w:asciiTheme="minorHAnsi" w:hAnsiTheme="minorHAnsi" w:cs="Arial"/>
          <w:bCs/>
          <w:sz w:val="22"/>
        </w:rPr>
        <w:t>Observation</w:t>
      </w:r>
      <w:r w:rsidR="00CD040E">
        <w:rPr>
          <w:rFonts w:asciiTheme="minorHAnsi" w:hAnsiTheme="minorHAnsi" w:cs="Arial"/>
          <w:bCs/>
          <w:sz w:val="22"/>
        </w:rPr>
        <w:t xml:space="preserve"> 10</w:t>
      </w:r>
      <w:r>
        <w:rPr>
          <w:rFonts w:asciiTheme="minorHAnsi" w:hAnsiTheme="minorHAnsi" w:cs="Arial"/>
          <w:bCs/>
          <w:sz w:val="22"/>
        </w:rPr>
        <w:t xml:space="preserve">: </w:t>
      </w:r>
      <w:r>
        <w:rPr>
          <w:rFonts w:asciiTheme="minorHAnsi" w:hAnsiTheme="minorHAnsi" w:cs="Arial"/>
          <w:b w:val="0"/>
          <w:bCs/>
          <w:sz w:val="22"/>
        </w:rPr>
        <w:t>Failure of 3GPP to secure a minimum working specification for NTN-IoT in Release 17 will drive verticals and satellite operators alike to adopt other non-3GPP solutions to fulfil the massively growing market need.  This will hurt the 3GPP ecosystem and constitute lost opportunities for terrestrial MNOs in particular.</w:t>
      </w:r>
    </w:p>
    <w:p w14:paraId="63EC3B1B" w14:textId="77777777" w:rsidR="007A7616" w:rsidRPr="00777422" w:rsidRDefault="007A7616" w:rsidP="00777422">
      <w:pPr>
        <w:pStyle w:val="TH"/>
        <w:jc w:val="left"/>
        <w:rPr>
          <w:rFonts w:asciiTheme="minorHAnsi" w:hAnsiTheme="minorHAnsi" w:cs="Arial"/>
          <w:b w:val="0"/>
          <w:bCs/>
          <w:sz w:val="22"/>
        </w:rPr>
      </w:pPr>
    </w:p>
    <w:p w14:paraId="234D2C92" w14:textId="77777777" w:rsidR="003637A9" w:rsidRDefault="00405CF4">
      <w:pPr>
        <w:pStyle w:val="Heading1"/>
        <w:rPr>
          <w:rFonts w:eastAsiaTheme="majorEastAsia"/>
        </w:rPr>
      </w:pPr>
      <w:r w:rsidRPr="00DD1389">
        <w:rPr>
          <w:rFonts w:eastAsiaTheme="majorEastAsia"/>
        </w:rPr>
        <w:t>Conclusions</w:t>
      </w:r>
    </w:p>
    <w:bookmarkEnd w:id="3"/>
    <w:p w14:paraId="45FEC2A1" w14:textId="5A466E9D" w:rsidR="00F97A53" w:rsidRDefault="0049724B" w:rsidP="006F3E9B">
      <w:pPr>
        <w:rPr>
          <w:rFonts w:cstheme="minorHAnsi"/>
          <w:lang w:eastAsia="fr-FR"/>
        </w:rPr>
      </w:pPr>
      <w:r>
        <w:rPr>
          <w:rFonts w:cstheme="minorHAnsi"/>
          <w:lang w:eastAsia="fr-FR"/>
        </w:rPr>
        <w:t>We</w:t>
      </w:r>
      <w:r w:rsidR="00F97A53">
        <w:rPr>
          <w:rFonts w:cstheme="minorHAnsi"/>
          <w:lang w:eastAsia="fr-FR"/>
        </w:rPr>
        <w:t xml:space="preserve"> are seeking RAN to consider the following proposal</w:t>
      </w:r>
      <w:r>
        <w:rPr>
          <w:rFonts w:cstheme="minorHAnsi"/>
          <w:lang w:eastAsia="fr-FR"/>
        </w:rPr>
        <w:t>s</w:t>
      </w:r>
      <w:r w:rsidR="00F97A53">
        <w:rPr>
          <w:rFonts w:cstheme="minorHAnsi"/>
          <w:lang w:eastAsia="fr-FR"/>
        </w:rPr>
        <w:t>:</w:t>
      </w:r>
    </w:p>
    <w:p w14:paraId="63230A37" w14:textId="17061EAD" w:rsidR="00BD4EE2" w:rsidRDefault="00F97A53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 xml:space="preserve">Proposal 1:  </w:t>
      </w:r>
      <w:r>
        <w:rPr>
          <w:rFonts w:cstheme="minorHAnsi"/>
          <w:lang w:eastAsia="fr-FR"/>
        </w:rPr>
        <w:t xml:space="preserve">RAN </w:t>
      </w:r>
      <w:r w:rsidR="00A0667E">
        <w:rPr>
          <w:rFonts w:cstheme="minorHAnsi"/>
          <w:lang w:eastAsia="fr-FR"/>
        </w:rPr>
        <w:t xml:space="preserve">to </w:t>
      </w:r>
      <w:r w:rsidR="0049724B">
        <w:rPr>
          <w:rFonts w:cstheme="minorHAnsi"/>
          <w:lang w:eastAsia="fr-FR"/>
        </w:rPr>
        <w:t>discuss</w:t>
      </w:r>
      <w:r>
        <w:rPr>
          <w:rFonts w:cstheme="minorHAnsi"/>
          <w:lang w:eastAsia="fr-FR"/>
        </w:rPr>
        <w:t xml:space="preserve"> a WF for an </w:t>
      </w:r>
      <w:r w:rsidR="00CD040E">
        <w:rPr>
          <w:rFonts w:cstheme="minorHAnsi"/>
          <w:lang w:eastAsia="fr-FR"/>
        </w:rPr>
        <w:t>NTN-IoT</w:t>
      </w:r>
      <w:r>
        <w:rPr>
          <w:rFonts w:cstheme="minorHAnsi"/>
          <w:lang w:eastAsia="fr-FR"/>
        </w:rPr>
        <w:t xml:space="preserve"> normative phase</w:t>
      </w:r>
      <w:r w:rsidR="00BD4EE2">
        <w:rPr>
          <w:rFonts w:cstheme="minorHAnsi"/>
          <w:lang w:eastAsia="fr-FR"/>
        </w:rPr>
        <w:t xml:space="preserve"> aimed at specifying </w:t>
      </w:r>
      <w:r>
        <w:rPr>
          <w:rFonts w:cstheme="minorHAnsi"/>
          <w:lang w:eastAsia="fr-FR"/>
        </w:rPr>
        <w:t xml:space="preserve">a minimum functional </w:t>
      </w:r>
      <w:r w:rsidR="00BD4EE2">
        <w:rPr>
          <w:rFonts w:cstheme="minorHAnsi"/>
          <w:lang w:eastAsia="fr-FR"/>
        </w:rPr>
        <w:t>solution</w:t>
      </w:r>
      <w:r w:rsidR="00CD040E">
        <w:rPr>
          <w:rFonts w:cstheme="minorHAnsi"/>
          <w:lang w:eastAsia="fr-FR"/>
        </w:rPr>
        <w:t xml:space="preserve"> of NTN-IoT</w:t>
      </w:r>
      <w:r w:rsidR="00BD4EE2">
        <w:rPr>
          <w:rFonts w:cstheme="minorHAnsi"/>
          <w:lang w:eastAsia="fr-FR"/>
        </w:rPr>
        <w:t xml:space="preserve"> within Release 17.</w:t>
      </w:r>
    </w:p>
    <w:p w14:paraId="3CA08482" w14:textId="4D1E9369" w:rsidR="00291AB3" w:rsidRPr="00291AB3" w:rsidRDefault="00291AB3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 xml:space="preserve">Proposal 2: </w:t>
      </w:r>
      <w:r>
        <w:rPr>
          <w:rFonts w:cstheme="minorHAnsi"/>
          <w:lang w:eastAsia="fr-FR"/>
        </w:rPr>
        <w:t xml:space="preserve">RAN </w:t>
      </w:r>
      <w:r w:rsidR="0049724B">
        <w:rPr>
          <w:rFonts w:cstheme="minorHAnsi"/>
          <w:lang w:eastAsia="fr-FR"/>
        </w:rPr>
        <w:t xml:space="preserve">can encourage RAN1/2 to focus on achieving a minimum working solution for </w:t>
      </w:r>
      <w:r w:rsidR="00CD040E">
        <w:rPr>
          <w:rFonts w:cstheme="minorHAnsi"/>
          <w:lang w:eastAsia="fr-FR"/>
        </w:rPr>
        <w:t>NTN-IoT, to be prioritized over additional optimizations</w:t>
      </w:r>
      <w:r w:rsidR="0049724B">
        <w:rPr>
          <w:rFonts w:cstheme="minorHAnsi"/>
          <w:lang w:eastAsia="fr-FR"/>
        </w:rPr>
        <w:t>.</w:t>
      </w:r>
    </w:p>
    <w:p w14:paraId="317AF99D" w14:textId="5B5B3B42" w:rsidR="008A0A31" w:rsidRPr="008A0A31" w:rsidRDefault="0049724B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>Proposal 3</w:t>
      </w:r>
      <w:r w:rsidR="008A0A31">
        <w:rPr>
          <w:rFonts w:cstheme="minorHAnsi"/>
          <w:b/>
          <w:lang w:eastAsia="fr-FR"/>
        </w:rPr>
        <w:t xml:space="preserve">: </w:t>
      </w:r>
      <w:r w:rsidR="008A0A31">
        <w:rPr>
          <w:rFonts w:cstheme="minorHAnsi"/>
          <w:lang w:eastAsia="fr-FR"/>
        </w:rPr>
        <w:t>RAN can consider prioritizing NB-IoT, as it has been proven to work effectively over existing and in-deployment satellite constellations.</w:t>
      </w:r>
    </w:p>
    <w:p w14:paraId="423E0E5D" w14:textId="782505F7" w:rsidR="00F97A53" w:rsidRDefault="00BD4EE2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 xml:space="preserve">Proposal </w:t>
      </w:r>
      <w:r w:rsidR="0049724B">
        <w:rPr>
          <w:rFonts w:cstheme="minorHAnsi"/>
          <w:b/>
          <w:lang w:eastAsia="fr-FR"/>
        </w:rPr>
        <w:t>4</w:t>
      </w:r>
      <w:r>
        <w:rPr>
          <w:rFonts w:cstheme="minorHAnsi"/>
          <w:b/>
          <w:lang w:eastAsia="fr-FR"/>
        </w:rPr>
        <w:t xml:space="preserve">: </w:t>
      </w:r>
      <w:r w:rsidR="0049724B">
        <w:rPr>
          <w:rFonts w:cstheme="minorHAnsi"/>
          <w:lang w:eastAsia="fr-FR"/>
        </w:rPr>
        <w:t xml:space="preserve">If further prioritization is necessary, </w:t>
      </w:r>
      <w:r w:rsidR="00A0667E">
        <w:rPr>
          <w:rFonts w:cstheme="minorHAnsi"/>
          <w:lang w:eastAsia="fr-FR"/>
        </w:rPr>
        <w:t>RAN should prioritize</w:t>
      </w:r>
      <w:r w:rsidR="00291AB3">
        <w:rPr>
          <w:rFonts w:cstheme="minorHAnsi"/>
          <w:lang w:eastAsia="fr-FR"/>
        </w:rPr>
        <w:t xml:space="preserve"> </w:t>
      </w:r>
      <w:r w:rsidR="0049724B">
        <w:rPr>
          <w:rFonts w:cstheme="minorHAnsi"/>
          <w:lang w:eastAsia="fr-FR"/>
        </w:rPr>
        <w:t>NTN-</w:t>
      </w:r>
      <w:r w:rsidR="00291AB3">
        <w:rPr>
          <w:rFonts w:cstheme="minorHAnsi"/>
          <w:lang w:eastAsia="fr-FR"/>
        </w:rPr>
        <w:t>IoT</w:t>
      </w:r>
      <w:r w:rsidR="00A0667E">
        <w:rPr>
          <w:rFonts w:cstheme="minorHAnsi"/>
          <w:lang w:eastAsia="fr-FR"/>
        </w:rPr>
        <w:t xml:space="preserve"> </w:t>
      </w:r>
      <w:r w:rsidR="0049724B">
        <w:rPr>
          <w:rFonts w:cstheme="minorHAnsi"/>
          <w:lang w:eastAsia="fr-FR"/>
        </w:rPr>
        <w:t xml:space="preserve">features </w:t>
      </w:r>
      <w:r w:rsidR="00CD040E">
        <w:rPr>
          <w:rFonts w:cstheme="minorHAnsi"/>
          <w:lang w:eastAsia="fr-FR"/>
        </w:rPr>
        <w:t xml:space="preserve">oriented to </w:t>
      </w:r>
      <w:r w:rsidR="00A0667E">
        <w:rPr>
          <w:rFonts w:cstheme="minorHAnsi"/>
          <w:lang w:eastAsia="fr-FR"/>
        </w:rPr>
        <w:t xml:space="preserve">support existing and </w:t>
      </w:r>
      <w:r w:rsidR="0049724B">
        <w:rPr>
          <w:rFonts w:cstheme="minorHAnsi"/>
          <w:lang w:eastAsia="fr-FR"/>
        </w:rPr>
        <w:t>in-deployment</w:t>
      </w:r>
      <w:r w:rsidR="00A0667E">
        <w:rPr>
          <w:rFonts w:cstheme="minorHAnsi"/>
          <w:lang w:eastAsia="fr-FR"/>
        </w:rPr>
        <w:t xml:space="preserve"> satellite constellations</w:t>
      </w:r>
      <w:r w:rsidR="0049724B">
        <w:rPr>
          <w:rFonts w:cstheme="minorHAnsi"/>
          <w:lang w:eastAsia="fr-FR"/>
        </w:rPr>
        <w:t xml:space="preserve"> in GSO and NGSO</w:t>
      </w:r>
      <w:r>
        <w:rPr>
          <w:rFonts w:cstheme="minorHAnsi"/>
          <w:lang w:eastAsia="fr-FR"/>
        </w:rPr>
        <w:t>.</w:t>
      </w:r>
      <w:r w:rsidR="0016449A">
        <w:rPr>
          <w:rFonts w:cstheme="minorHAnsi"/>
          <w:lang w:eastAsia="fr-FR"/>
        </w:rPr>
        <w:t xml:space="preserve"> </w:t>
      </w:r>
    </w:p>
    <w:p w14:paraId="398E5D7D" w14:textId="3E2D273C" w:rsidR="00CD040E" w:rsidRDefault="00DA6E79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 xml:space="preserve">Proposal 5: </w:t>
      </w:r>
      <w:r w:rsidR="00CD040E">
        <w:rPr>
          <w:rFonts w:cstheme="minorHAnsi"/>
          <w:lang w:eastAsia="fr-FR"/>
        </w:rPr>
        <w:t xml:space="preserve">If further prioritization is necessary, </w:t>
      </w:r>
      <w:r>
        <w:rPr>
          <w:rFonts w:cstheme="minorHAnsi"/>
          <w:lang w:eastAsia="fr-FR"/>
        </w:rPr>
        <w:t>NTN-IoT connected mobility can be deprioritized for Release 17.</w:t>
      </w:r>
    </w:p>
    <w:p w14:paraId="7ECDAB1A" w14:textId="6B14FBFB" w:rsidR="00CD040E" w:rsidRDefault="00CD040E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lastRenderedPageBreak/>
        <w:t xml:space="preserve">Proposal 6: </w:t>
      </w:r>
      <w:r w:rsidR="000048FE">
        <w:rPr>
          <w:rFonts w:cstheme="minorHAnsi"/>
          <w:b/>
          <w:lang w:eastAsia="fr-FR"/>
        </w:rPr>
        <w:t xml:space="preserve"> </w:t>
      </w:r>
      <w:r>
        <w:rPr>
          <w:rFonts w:cstheme="minorHAnsi"/>
          <w:lang w:eastAsia="fr-FR"/>
        </w:rPr>
        <w:t>The solutions should prioritize features aimed at achieving a spectrally-efficient and resource-efficient standard for NTN-IoT on existing and in-deployment GSO and NGSO satellites, including dynamic GEO and discontinuous LEO.  This will increase sustainability and affordability for operators and users.</w:t>
      </w:r>
    </w:p>
    <w:p w14:paraId="550AFC35" w14:textId="610C9FDD" w:rsidR="00CD040E" w:rsidRPr="00CD040E" w:rsidRDefault="00CD040E" w:rsidP="006F3E9B">
      <w:pPr>
        <w:rPr>
          <w:rFonts w:cstheme="minorHAnsi"/>
          <w:lang w:eastAsia="fr-FR"/>
        </w:rPr>
      </w:pPr>
      <w:r>
        <w:rPr>
          <w:rFonts w:cstheme="minorHAnsi"/>
          <w:b/>
          <w:lang w:eastAsia="fr-FR"/>
        </w:rPr>
        <w:t xml:space="preserve">Proposal 7: </w:t>
      </w:r>
      <w:r>
        <w:rPr>
          <w:rFonts w:cstheme="minorHAnsi"/>
          <w:lang w:eastAsia="fr-FR"/>
        </w:rPr>
        <w:t xml:space="preserve"> The solutions should also prioritize features aimed at increasing power efficiency and battery life of the UEs.</w:t>
      </w:r>
    </w:p>
    <w:p w14:paraId="54041705" w14:textId="77777777" w:rsidR="00CD040E" w:rsidRPr="00CD040E" w:rsidRDefault="00CD040E" w:rsidP="006F3E9B">
      <w:pPr>
        <w:rPr>
          <w:rFonts w:cstheme="minorHAnsi"/>
          <w:lang w:eastAsia="fr-FR"/>
        </w:rPr>
      </w:pPr>
    </w:p>
    <w:p w14:paraId="48310922" w14:textId="77777777" w:rsidR="00016832" w:rsidRDefault="00016832" w:rsidP="00480443"/>
    <w:p w14:paraId="43A3291C" w14:textId="33B73504" w:rsidR="008052D1" w:rsidRPr="008052D1" w:rsidRDefault="00EB5F17" w:rsidP="008052D1">
      <w:pPr>
        <w:pStyle w:val="Heading1"/>
      </w:pPr>
      <w:r>
        <w:t>Reference</w:t>
      </w:r>
    </w:p>
    <w:p w14:paraId="2CEF5339" w14:textId="202C0AEC" w:rsidR="008052D1" w:rsidRPr="008052D1" w:rsidRDefault="00986E35" w:rsidP="008052D1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60" w:after="60" w:line="240" w:lineRule="auto"/>
        <w:jc w:val="both"/>
      </w:pPr>
      <w:hyperlink r:id="rId13">
        <w:r w:rsidR="008052D1">
          <w:rPr>
            <w:color w:val="1155CC"/>
            <w:u w:val="single"/>
          </w:rPr>
          <w:t>RP-192670</w:t>
        </w:r>
      </w:hyperlink>
      <w:r w:rsidR="008052D1">
        <w:t>, “Satellite NB-IoT Urgency for a global standard”, MediaTek Inc., Qualcomm, Eutelsat, Novamint, VTT Technical Research of Finland Ltd, Ligado, Inmarsat, 3GPP TSG RAN#86, Sitges, Spain – December 9th-12th, 2019</w:t>
      </w:r>
    </w:p>
    <w:p w14:paraId="1F812E99" w14:textId="790C5923" w:rsidR="007351B0" w:rsidRDefault="007351B0" w:rsidP="00172458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r>
        <w:rPr>
          <w:rFonts w:cstheme="minorHAnsi"/>
          <w:bCs/>
          <w:iCs/>
          <w:lang w:val="en-GB" w:eastAsia="zh-CN"/>
        </w:rPr>
        <w:t xml:space="preserve">IoT NTN Study Report Draft: </w:t>
      </w:r>
      <w:hyperlink r:id="rId14" w:history="1">
        <w:r>
          <w:rPr>
            <w:rStyle w:val="Hyperlink"/>
          </w:rPr>
          <w:t>https://www.3gpp.org/ftp/tsg_ran/TSG_RAN/TSGR_91e/Inbox/Drafts/Draft_RP-210XXX_SR_%20FS_LTE_NBIOT_eMTC_NTN/RP-210XXX-Status%20Report%20for%20RP91%20of%20Study%20on%20IoT%20NTN-V02.docx</w:t>
        </w:r>
      </w:hyperlink>
      <w:r w:rsidR="002377F3">
        <w:rPr>
          <w:color w:val="1F497D"/>
        </w:rPr>
        <w:t xml:space="preserve"> </w:t>
      </w:r>
    </w:p>
    <w:p w14:paraId="4FCDC966" w14:textId="77777777" w:rsidR="002377F3" w:rsidRDefault="00986E35" w:rsidP="00172458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15" w:history="1">
        <w:r w:rsidR="007351B0" w:rsidRPr="00DD5AB3">
          <w:rPr>
            <w:rStyle w:val="Hyperlink"/>
            <w:rFonts w:cstheme="minorHAnsi"/>
            <w:bCs/>
            <w:iCs/>
            <w:lang w:val="en-GB" w:eastAsia="zh-CN"/>
          </w:rPr>
          <w:t>https://www.inmarsat.com/en/news/latest-news/corporate/2020/successful-trial-advances-global-5g-iot-communications.html</w:t>
        </w:r>
      </w:hyperlink>
      <w:r w:rsidR="007351B0">
        <w:rPr>
          <w:rFonts w:cstheme="minorHAnsi"/>
          <w:bCs/>
          <w:iCs/>
          <w:lang w:val="en-GB" w:eastAsia="zh-CN"/>
        </w:rPr>
        <w:t xml:space="preserve"> </w:t>
      </w:r>
    </w:p>
    <w:p w14:paraId="5ABFDBE6" w14:textId="5A88AB42" w:rsidR="00172458" w:rsidRDefault="00986E35" w:rsidP="00172458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16" w:history="1">
        <w:r w:rsidR="002377F3" w:rsidRPr="002377F3">
          <w:rPr>
            <w:rStyle w:val="Hyperlink"/>
            <w:rFonts w:cstheme="minorHAnsi"/>
            <w:bCs/>
            <w:iCs/>
            <w:lang w:val="en-GB" w:eastAsia="zh-CN"/>
          </w:rPr>
          <w:t>RP-201702</w:t>
        </w:r>
      </w:hyperlink>
      <w:r w:rsidR="002377F3">
        <w:rPr>
          <w:rFonts w:cstheme="minorHAnsi"/>
          <w:bCs/>
          <w:iCs/>
          <w:lang w:val="en-GB" w:eastAsia="zh-CN"/>
        </w:rPr>
        <w:t>, “</w:t>
      </w:r>
      <w:r w:rsidR="002377F3" w:rsidRPr="002377F3">
        <w:rPr>
          <w:rFonts w:cstheme="minorHAnsi"/>
          <w:bCs/>
          <w:iCs/>
          <w:lang w:val="en-GB" w:eastAsia="zh-CN"/>
        </w:rPr>
        <w:t>Demonstrating NB-IoT viability for Satellite use</w:t>
      </w:r>
      <w:r w:rsidR="002377F3">
        <w:rPr>
          <w:rFonts w:cstheme="minorHAnsi"/>
          <w:bCs/>
          <w:iCs/>
          <w:lang w:val="en-GB" w:eastAsia="zh-CN"/>
        </w:rPr>
        <w:t>”, Inmarsat, MediaTek Inc. Institute for Information Industry – September 7</w:t>
      </w:r>
      <w:r w:rsidR="002377F3" w:rsidRPr="00777422">
        <w:rPr>
          <w:rFonts w:cstheme="minorHAnsi"/>
          <w:bCs/>
          <w:iCs/>
          <w:vertAlign w:val="superscript"/>
          <w:lang w:val="en-GB" w:eastAsia="zh-CN"/>
        </w:rPr>
        <w:t>th</w:t>
      </w:r>
      <w:r w:rsidR="002377F3">
        <w:rPr>
          <w:rFonts w:cstheme="minorHAnsi"/>
          <w:bCs/>
          <w:iCs/>
          <w:lang w:val="en-GB" w:eastAsia="zh-CN"/>
        </w:rPr>
        <w:t>, 2020</w:t>
      </w:r>
    </w:p>
    <w:p w14:paraId="2E057493" w14:textId="4111E3B5" w:rsidR="007A7616" w:rsidRDefault="00986E35" w:rsidP="007A7616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17" w:history="1">
        <w:r w:rsidR="007A7616" w:rsidRPr="00DD5AB3">
          <w:rPr>
            <w:rStyle w:val="Hyperlink"/>
            <w:rFonts w:cstheme="minorHAnsi"/>
            <w:bCs/>
            <w:iCs/>
            <w:lang w:val="en-GB" w:eastAsia="zh-CN"/>
          </w:rPr>
          <w:t>https://the-mobile-network.com/2020/11/nb-iot-rollout-good-but-not-good-enough/</w:t>
        </w:r>
      </w:hyperlink>
      <w:r w:rsidR="007A7616">
        <w:rPr>
          <w:rFonts w:cstheme="minorHAnsi"/>
          <w:bCs/>
          <w:iCs/>
          <w:lang w:val="en-GB" w:eastAsia="zh-CN"/>
        </w:rPr>
        <w:t xml:space="preserve">  </w:t>
      </w:r>
    </w:p>
    <w:p w14:paraId="69C3BA69" w14:textId="77777777" w:rsidR="006F1C7B" w:rsidRDefault="00986E35" w:rsidP="006F1C7B">
      <w:pPr>
        <w:numPr>
          <w:ilvl w:val="0"/>
          <w:numId w:val="39"/>
        </w:numPr>
        <w:tabs>
          <w:tab w:val="left" w:pos="0"/>
        </w:tabs>
        <w:spacing w:before="60" w:after="60" w:line="240" w:lineRule="auto"/>
        <w:jc w:val="both"/>
      </w:pPr>
      <w:hyperlink r:id="rId18">
        <w:r w:rsidR="006F1C7B">
          <w:rPr>
            <w:color w:val="1155CC"/>
            <w:u w:val="single"/>
          </w:rPr>
          <w:t>R1-2101779</w:t>
        </w:r>
      </w:hyperlink>
      <w:r w:rsidR="006F1C7B">
        <w:t>, “Market expectations for IoT NTN”, Novamint, 3GPP TSG-RAN WG1 Meeting #104e, January 25th – February 5th, 2021</w:t>
      </w:r>
    </w:p>
    <w:p w14:paraId="41FB8901" w14:textId="46982A4A" w:rsidR="006F1C7B" w:rsidRDefault="00986E35" w:rsidP="0036301E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19" w:history="1">
        <w:r w:rsidR="0036301E" w:rsidRPr="00DB330E">
          <w:rPr>
            <w:rStyle w:val="Hyperlink"/>
            <w:rFonts w:cstheme="minorHAnsi"/>
            <w:bCs/>
            <w:iCs/>
            <w:lang w:val="en-GB" w:eastAsia="zh-CN"/>
          </w:rPr>
          <w:t>https://www.ngmn.org/wp-content/uploads/191209-NGMN-Non-Terrestrial-Networks-Position-Paper-r1.pdf</w:t>
        </w:r>
      </w:hyperlink>
      <w:r w:rsidR="0036301E">
        <w:rPr>
          <w:rFonts w:cstheme="minorHAnsi"/>
          <w:bCs/>
          <w:iCs/>
          <w:lang w:val="en-GB" w:eastAsia="zh-CN"/>
        </w:rPr>
        <w:t xml:space="preserve"> </w:t>
      </w:r>
    </w:p>
    <w:p w14:paraId="37918D5E" w14:textId="6F77F420" w:rsidR="00FD5678" w:rsidRDefault="00986E35" w:rsidP="00FD5678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20" w:history="1">
        <w:r w:rsidR="00FD5678" w:rsidRPr="00DB330E">
          <w:rPr>
            <w:rStyle w:val="Hyperlink"/>
            <w:rFonts w:cstheme="minorHAnsi"/>
            <w:bCs/>
            <w:iCs/>
            <w:lang w:val="en-GB" w:eastAsia="zh-CN"/>
          </w:rPr>
          <w:t>https://www.inmarsat.com/en/solutions-services/enterprise/solutions/iot-solutions.html</w:t>
        </w:r>
      </w:hyperlink>
      <w:r w:rsidR="00FD5678">
        <w:rPr>
          <w:rFonts w:cstheme="minorHAnsi"/>
          <w:bCs/>
          <w:iCs/>
          <w:lang w:val="en-GB" w:eastAsia="zh-CN"/>
        </w:rPr>
        <w:t xml:space="preserve"> </w:t>
      </w:r>
    </w:p>
    <w:p w14:paraId="50A6B523" w14:textId="5A944C4C" w:rsidR="00082540" w:rsidRPr="00172458" w:rsidRDefault="00986E35" w:rsidP="00082540">
      <w:pPr>
        <w:pStyle w:val="ListParagraph"/>
        <w:numPr>
          <w:ilvl w:val="0"/>
          <w:numId w:val="39"/>
        </w:num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hyperlink r:id="rId21" w:history="1">
        <w:r w:rsidR="00082540" w:rsidRPr="00DB330E">
          <w:rPr>
            <w:rStyle w:val="Hyperlink"/>
            <w:rFonts w:cstheme="minorHAnsi"/>
            <w:bCs/>
            <w:iCs/>
            <w:lang w:val="en-GB" w:eastAsia="zh-CN"/>
          </w:rPr>
          <w:t>https://www.inmarsat.com/en/about/technology/our-roadmap.html</w:t>
        </w:r>
      </w:hyperlink>
      <w:r w:rsidR="00082540">
        <w:rPr>
          <w:rFonts w:cstheme="minorHAnsi"/>
          <w:bCs/>
          <w:iCs/>
          <w:lang w:val="en-GB" w:eastAsia="zh-CN"/>
        </w:rPr>
        <w:t xml:space="preserve"> </w:t>
      </w:r>
    </w:p>
    <w:p w14:paraId="7A648AC4" w14:textId="77777777" w:rsidR="000A4E25" w:rsidRPr="000A4E25" w:rsidRDefault="000A4E25" w:rsidP="000A4E25">
      <w:p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</w:p>
    <w:p w14:paraId="7C2C313C" w14:textId="77777777" w:rsidR="00724B78" w:rsidRDefault="00724B78" w:rsidP="005667CB">
      <w:pPr>
        <w:pStyle w:val="ListParagraph"/>
        <w:spacing w:before="100" w:beforeAutospacing="1" w:after="60" w:line="240" w:lineRule="auto"/>
        <w:ind w:left="360"/>
        <w:jc w:val="center"/>
        <w:rPr>
          <w:rFonts w:cstheme="minorHAnsi"/>
          <w:b/>
          <w:iCs/>
          <w:sz w:val="32"/>
          <w:szCs w:val="32"/>
          <w:lang w:val="en-GB"/>
        </w:rPr>
      </w:pPr>
    </w:p>
    <w:p w14:paraId="4669CCDF" w14:textId="77777777" w:rsidR="005667CB" w:rsidRPr="005667CB" w:rsidRDefault="00724B78" w:rsidP="005667CB">
      <w:pPr>
        <w:pStyle w:val="ListParagraph"/>
        <w:spacing w:before="100" w:beforeAutospacing="1" w:after="60" w:line="240" w:lineRule="auto"/>
        <w:ind w:left="360"/>
        <w:jc w:val="center"/>
        <w:rPr>
          <w:rFonts w:cstheme="minorHAnsi"/>
          <w:b/>
          <w:iCs/>
          <w:sz w:val="32"/>
          <w:szCs w:val="32"/>
          <w:lang w:val="en-GB" w:eastAsia="zh-CN"/>
        </w:rPr>
      </w:pPr>
      <w:r>
        <w:rPr>
          <w:rFonts w:cstheme="minorHAnsi"/>
          <w:b/>
          <w:iCs/>
          <w:sz w:val="32"/>
          <w:szCs w:val="32"/>
          <w:lang w:val="en-GB"/>
        </w:rPr>
        <w:t>-</w:t>
      </w:r>
      <w:r w:rsidR="005667CB" w:rsidRPr="005667CB">
        <w:rPr>
          <w:rFonts w:cstheme="minorHAnsi"/>
          <w:b/>
          <w:iCs/>
          <w:sz w:val="32"/>
          <w:szCs w:val="32"/>
          <w:lang w:val="en-GB"/>
        </w:rPr>
        <w:t>END</w:t>
      </w:r>
      <w:r>
        <w:rPr>
          <w:rFonts w:cstheme="minorHAnsi"/>
          <w:b/>
          <w:iCs/>
          <w:sz w:val="32"/>
          <w:szCs w:val="32"/>
          <w:lang w:val="en-GB"/>
        </w:rPr>
        <w:t>-</w:t>
      </w:r>
    </w:p>
    <w:p w14:paraId="63E56D70" w14:textId="77777777" w:rsidR="005667CB" w:rsidRPr="005667CB" w:rsidRDefault="005667CB" w:rsidP="005667CB">
      <w:pPr>
        <w:spacing w:before="100" w:beforeAutospacing="1" w:after="60" w:line="240" w:lineRule="auto"/>
        <w:jc w:val="center"/>
        <w:rPr>
          <w:rStyle w:val="Hyperlink"/>
          <w:rFonts w:cstheme="minorHAnsi"/>
          <w:b/>
          <w:i/>
          <w:color w:val="auto"/>
          <w:lang w:val="en-GB" w:eastAsia="zh-CN"/>
        </w:rPr>
      </w:pPr>
    </w:p>
    <w:sectPr w:rsidR="005667CB" w:rsidRPr="005667CB" w:rsidSect="002E7049">
      <w:footerReference w:type="default" r:id="rId2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31147" w14:textId="77777777" w:rsidR="00986E35" w:rsidRDefault="00986E35" w:rsidP="000519FA">
      <w:pPr>
        <w:spacing w:after="0" w:line="240" w:lineRule="auto"/>
      </w:pPr>
      <w:r>
        <w:separator/>
      </w:r>
    </w:p>
  </w:endnote>
  <w:endnote w:type="continuationSeparator" w:id="0">
    <w:p w14:paraId="03CCF158" w14:textId="77777777" w:rsidR="00986E35" w:rsidRDefault="00986E3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90291" w14:textId="2615510B" w:rsidR="0089285F" w:rsidRDefault="00FD082F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AD2C7D3" wp14:editId="02031B76">
              <wp:simplePos x="0" y="0"/>
              <wp:positionH relativeFrom="page">
                <wp:posOffset>0</wp:posOffset>
              </wp:positionH>
              <wp:positionV relativeFrom="page">
                <wp:posOffset>9594850</wp:posOffset>
              </wp:positionV>
              <wp:extent cx="7772400" cy="273050"/>
              <wp:effectExtent l="0" t="0" r="0" b="12700"/>
              <wp:wrapNone/>
              <wp:docPr id="1" name="MSIPCM4f714bd7933ad56c6c88234c" descr="{&quot;HashCode&quot;:-121229807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22B20" w14:textId="057A8854" w:rsidR="00FD082F" w:rsidRPr="001A7B36" w:rsidRDefault="001A7B36" w:rsidP="001A7B36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1A7B36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D2C7D3" id="_x0000_t202" coordsize="21600,21600" o:spt="202" path="m,l,21600r21600,l21600,xe">
              <v:stroke joinstyle="miter"/>
              <v:path gradientshapeok="t" o:connecttype="rect"/>
            </v:shapetype>
            <v:shape id="MSIPCM4f714bd7933ad56c6c88234c" o:spid="_x0000_s1026" type="#_x0000_t202" alt="{&quot;HashCode&quot;:-1212298077,&quot;Height&quot;:792.0,&quot;Width&quot;:612.0,&quot;Placement&quot;:&quot;Footer&quot;,&quot;Index&quot;:&quot;Primary&quot;,&quot;Section&quot;:1,&quot;Top&quot;:0.0,&quot;Left&quot;:0.0}" style="position:absolute;margin-left:0;margin-top:755.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" o:allowincell="f" filled="f" stroked="f" strokeweight=".5pt">
              <v:textbox inset="20pt,0,,0">
                <w:txbxContent>
                  <w:p w14:paraId="2F322B20" w14:textId="057A8854" w:rsidR="00FD082F" w:rsidRPr="001A7B36" w:rsidRDefault="001A7B36" w:rsidP="001A7B36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1A7B36">
                      <w:rPr>
                        <w:rFonts w:ascii="Calibri" w:hAnsi="Calibri"/>
                        <w:color w:val="000000"/>
                        <w:sz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39A0A" w14:textId="77777777" w:rsidR="00986E35" w:rsidRDefault="00986E35" w:rsidP="000519FA">
      <w:pPr>
        <w:spacing w:after="0" w:line="240" w:lineRule="auto"/>
      </w:pPr>
      <w:r>
        <w:separator/>
      </w:r>
    </w:p>
  </w:footnote>
  <w:footnote w:type="continuationSeparator" w:id="0">
    <w:p w14:paraId="700A7A21" w14:textId="77777777" w:rsidR="00986E35" w:rsidRDefault="00986E3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3.6pt;height:33pt" o:bullet="t">
        <v:imagedata r:id="rId1" o:title="artABBA"/>
      </v:shape>
    </w:pict>
  </w:numPicBullet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52047"/>
    <w:multiLevelType w:val="multilevel"/>
    <w:tmpl w:val="67DE0FC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73DC1"/>
    <w:multiLevelType w:val="hybridMultilevel"/>
    <w:tmpl w:val="B352CD78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7B10CAC"/>
    <w:multiLevelType w:val="hybridMultilevel"/>
    <w:tmpl w:val="C6D6B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D7CA4"/>
    <w:multiLevelType w:val="multilevel"/>
    <w:tmpl w:val="C7B872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5F049B"/>
    <w:multiLevelType w:val="hybridMultilevel"/>
    <w:tmpl w:val="AEA6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A2319E"/>
    <w:multiLevelType w:val="hybridMultilevel"/>
    <w:tmpl w:val="76E80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33315"/>
    <w:multiLevelType w:val="multilevel"/>
    <w:tmpl w:val="7D64C3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93314E"/>
    <w:multiLevelType w:val="hybridMultilevel"/>
    <w:tmpl w:val="9A5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83B4A"/>
    <w:multiLevelType w:val="hybridMultilevel"/>
    <w:tmpl w:val="8A205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54021"/>
    <w:multiLevelType w:val="hybridMultilevel"/>
    <w:tmpl w:val="F7A03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25AEE"/>
    <w:multiLevelType w:val="hybridMultilevel"/>
    <w:tmpl w:val="2E7CD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B7800"/>
    <w:multiLevelType w:val="multilevel"/>
    <w:tmpl w:val="C7605DF4"/>
    <w:lvl w:ilvl="0">
      <w:start w:val="1"/>
      <w:numFmt w:val="decimal"/>
      <w:lvlText w:val="[%1]"/>
      <w:lvlJc w:val="left"/>
      <w:pPr>
        <w:ind w:left="6031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32D37"/>
    <w:multiLevelType w:val="multilevel"/>
    <w:tmpl w:val="158E39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AD681C"/>
    <w:multiLevelType w:val="hybridMultilevel"/>
    <w:tmpl w:val="81A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13313"/>
    <w:multiLevelType w:val="hybridMultilevel"/>
    <w:tmpl w:val="586C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6309A"/>
    <w:multiLevelType w:val="hybridMultilevel"/>
    <w:tmpl w:val="7248B092"/>
    <w:lvl w:ilvl="0" w:tplc="7F8A3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85D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8A3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7C1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69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D6A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FC8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42F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455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22D4866"/>
    <w:multiLevelType w:val="hybridMultilevel"/>
    <w:tmpl w:val="658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C725B"/>
    <w:multiLevelType w:val="hybridMultilevel"/>
    <w:tmpl w:val="01E6456A"/>
    <w:lvl w:ilvl="0" w:tplc="89C2770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3235E"/>
    <w:multiLevelType w:val="hybridMultilevel"/>
    <w:tmpl w:val="208E6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178DA"/>
    <w:multiLevelType w:val="hybridMultilevel"/>
    <w:tmpl w:val="4B6E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5686CCA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B6224D2"/>
    <w:multiLevelType w:val="hybridMultilevel"/>
    <w:tmpl w:val="79424354"/>
    <w:lvl w:ilvl="0" w:tplc="37CAB5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F239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E98F9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F0F1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468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0C90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2A03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7AB1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EE58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C72074B"/>
    <w:multiLevelType w:val="multilevel"/>
    <w:tmpl w:val="7F72C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2"/>
  </w:num>
  <w:num w:numId="4">
    <w:abstractNumId w:val="41"/>
  </w:num>
  <w:num w:numId="5">
    <w:abstractNumId w:val="39"/>
  </w:num>
  <w:num w:numId="6">
    <w:abstractNumId w:val="37"/>
  </w:num>
  <w:num w:numId="7">
    <w:abstractNumId w:val="38"/>
  </w:num>
  <w:num w:numId="8">
    <w:abstractNumId w:val="17"/>
  </w:num>
  <w:num w:numId="9">
    <w:abstractNumId w:val="34"/>
  </w:num>
  <w:num w:numId="10">
    <w:abstractNumId w:val="14"/>
  </w:num>
  <w:num w:numId="11">
    <w:abstractNumId w:val="19"/>
  </w:num>
  <w:num w:numId="12">
    <w:abstractNumId w:val="10"/>
  </w:num>
  <w:num w:numId="13">
    <w:abstractNumId w:val="27"/>
  </w:num>
  <w:num w:numId="14">
    <w:abstractNumId w:val="24"/>
  </w:num>
  <w:num w:numId="15">
    <w:abstractNumId w:val="40"/>
  </w:num>
  <w:num w:numId="16">
    <w:abstractNumId w:val="16"/>
  </w:num>
  <w:num w:numId="17">
    <w:abstractNumId w:val="46"/>
  </w:num>
  <w:num w:numId="18">
    <w:abstractNumId w:val="32"/>
  </w:num>
  <w:num w:numId="19">
    <w:abstractNumId w:val="11"/>
  </w:num>
  <w:num w:numId="20">
    <w:abstractNumId w:val="45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23"/>
  </w:num>
  <w:num w:numId="27">
    <w:abstractNumId w:val="43"/>
  </w:num>
  <w:num w:numId="28">
    <w:abstractNumId w:val="43"/>
  </w:num>
  <w:num w:numId="29">
    <w:abstractNumId w:val="43"/>
  </w:num>
  <w:num w:numId="30">
    <w:abstractNumId w:val="43"/>
  </w:num>
  <w:num w:numId="31">
    <w:abstractNumId w:val="43"/>
  </w:num>
  <w:num w:numId="32">
    <w:abstractNumId w:val="43"/>
  </w:num>
  <w:num w:numId="33">
    <w:abstractNumId w:val="43"/>
  </w:num>
  <w:num w:numId="34">
    <w:abstractNumId w:val="9"/>
  </w:num>
  <w:num w:numId="35">
    <w:abstractNumId w:val="43"/>
  </w:num>
  <w:num w:numId="36">
    <w:abstractNumId w:val="18"/>
  </w:num>
  <w:num w:numId="37">
    <w:abstractNumId w:val="35"/>
  </w:num>
  <w:num w:numId="38">
    <w:abstractNumId w:val="7"/>
  </w:num>
  <w:num w:numId="39">
    <w:abstractNumId w:val="0"/>
  </w:num>
  <w:num w:numId="40">
    <w:abstractNumId w:val="28"/>
  </w:num>
  <w:num w:numId="41">
    <w:abstractNumId w:val="8"/>
  </w:num>
  <w:num w:numId="42">
    <w:abstractNumId w:val="33"/>
  </w:num>
  <w:num w:numId="43">
    <w:abstractNumId w:val="22"/>
  </w:num>
  <w:num w:numId="44">
    <w:abstractNumId w:val="25"/>
  </w:num>
  <w:num w:numId="45">
    <w:abstractNumId w:val="44"/>
  </w:num>
  <w:num w:numId="46">
    <w:abstractNumId w:val="30"/>
  </w:num>
  <w:num w:numId="47">
    <w:abstractNumId w:val="5"/>
  </w:num>
  <w:num w:numId="48">
    <w:abstractNumId w:val="12"/>
  </w:num>
  <w:num w:numId="49">
    <w:abstractNumId w:val="2"/>
  </w:num>
  <w:num w:numId="50">
    <w:abstractNumId w:val="13"/>
  </w:num>
  <w:num w:numId="51">
    <w:abstractNumId w:val="15"/>
  </w:num>
  <w:num w:numId="52">
    <w:abstractNumId w:val="36"/>
  </w:num>
  <w:num w:numId="53">
    <w:abstractNumId w:val="31"/>
  </w:num>
  <w:num w:numId="54">
    <w:abstractNumId w:val="21"/>
  </w:num>
  <w:num w:numId="55">
    <w:abstractNumId w:val="29"/>
  </w:num>
  <w:num w:numId="56">
    <w:abstractNumId w:val="26"/>
  </w:num>
  <w:num w:numId="57">
    <w:abstractNumId w:val="4"/>
  </w:num>
  <w:num w:numId="5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48FE"/>
    <w:rsid w:val="0000656B"/>
    <w:rsid w:val="00006960"/>
    <w:rsid w:val="00007A13"/>
    <w:rsid w:val="00007BE4"/>
    <w:rsid w:val="00010F94"/>
    <w:rsid w:val="000137A5"/>
    <w:rsid w:val="00016832"/>
    <w:rsid w:val="00017C51"/>
    <w:rsid w:val="00017D31"/>
    <w:rsid w:val="00020134"/>
    <w:rsid w:val="00020B0E"/>
    <w:rsid w:val="000215A6"/>
    <w:rsid w:val="00021E7B"/>
    <w:rsid w:val="000222C1"/>
    <w:rsid w:val="0002788C"/>
    <w:rsid w:val="00027C82"/>
    <w:rsid w:val="00027E68"/>
    <w:rsid w:val="00030A86"/>
    <w:rsid w:val="00031491"/>
    <w:rsid w:val="00031C76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50BC2"/>
    <w:rsid w:val="000519FA"/>
    <w:rsid w:val="0005271D"/>
    <w:rsid w:val="000549D5"/>
    <w:rsid w:val="00054DD0"/>
    <w:rsid w:val="00055899"/>
    <w:rsid w:val="00055C01"/>
    <w:rsid w:val="00056294"/>
    <w:rsid w:val="00057895"/>
    <w:rsid w:val="00057BAC"/>
    <w:rsid w:val="00057C8B"/>
    <w:rsid w:val="00057E68"/>
    <w:rsid w:val="000618F1"/>
    <w:rsid w:val="00061AE4"/>
    <w:rsid w:val="00061C7C"/>
    <w:rsid w:val="0006202B"/>
    <w:rsid w:val="000628DB"/>
    <w:rsid w:val="00062CAA"/>
    <w:rsid w:val="000639AB"/>
    <w:rsid w:val="00064757"/>
    <w:rsid w:val="000648EA"/>
    <w:rsid w:val="000648F1"/>
    <w:rsid w:val="000654AE"/>
    <w:rsid w:val="00067574"/>
    <w:rsid w:val="00067BC8"/>
    <w:rsid w:val="00071BF9"/>
    <w:rsid w:val="00071EC9"/>
    <w:rsid w:val="00072A13"/>
    <w:rsid w:val="000746F1"/>
    <w:rsid w:val="00074772"/>
    <w:rsid w:val="0007498A"/>
    <w:rsid w:val="00075BA9"/>
    <w:rsid w:val="00076BAB"/>
    <w:rsid w:val="00076BEE"/>
    <w:rsid w:val="00077209"/>
    <w:rsid w:val="00080069"/>
    <w:rsid w:val="00080A19"/>
    <w:rsid w:val="00080C3E"/>
    <w:rsid w:val="00080E0B"/>
    <w:rsid w:val="00082540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2B8E"/>
    <w:rsid w:val="00092DC8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63A6"/>
    <w:rsid w:val="000A7A6E"/>
    <w:rsid w:val="000A7CC5"/>
    <w:rsid w:val="000A7EE3"/>
    <w:rsid w:val="000B0CFD"/>
    <w:rsid w:val="000B12C8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382"/>
    <w:rsid w:val="000D7AA1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A17"/>
    <w:rsid w:val="00116F84"/>
    <w:rsid w:val="001175C0"/>
    <w:rsid w:val="00117D73"/>
    <w:rsid w:val="00120438"/>
    <w:rsid w:val="00121322"/>
    <w:rsid w:val="00122123"/>
    <w:rsid w:val="00122402"/>
    <w:rsid w:val="00122497"/>
    <w:rsid w:val="00122ADB"/>
    <w:rsid w:val="0012499A"/>
    <w:rsid w:val="0012566C"/>
    <w:rsid w:val="00126380"/>
    <w:rsid w:val="00126AE3"/>
    <w:rsid w:val="0012710E"/>
    <w:rsid w:val="0013288C"/>
    <w:rsid w:val="00132E99"/>
    <w:rsid w:val="001330E2"/>
    <w:rsid w:val="0013389B"/>
    <w:rsid w:val="0013566F"/>
    <w:rsid w:val="001363A9"/>
    <w:rsid w:val="001370D1"/>
    <w:rsid w:val="00137AA0"/>
    <w:rsid w:val="00141632"/>
    <w:rsid w:val="001418C6"/>
    <w:rsid w:val="00142257"/>
    <w:rsid w:val="00142809"/>
    <w:rsid w:val="00142E62"/>
    <w:rsid w:val="00142FFE"/>
    <w:rsid w:val="00144667"/>
    <w:rsid w:val="00144CAC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22"/>
    <w:rsid w:val="00163FFB"/>
    <w:rsid w:val="0016449A"/>
    <w:rsid w:val="001645C2"/>
    <w:rsid w:val="00164C9D"/>
    <w:rsid w:val="00166CA6"/>
    <w:rsid w:val="001676B2"/>
    <w:rsid w:val="0016782B"/>
    <w:rsid w:val="00170442"/>
    <w:rsid w:val="0017044A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22C2"/>
    <w:rsid w:val="00183472"/>
    <w:rsid w:val="001840DF"/>
    <w:rsid w:val="00184579"/>
    <w:rsid w:val="0018472F"/>
    <w:rsid w:val="00186643"/>
    <w:rsid w:val="00187C6F"/>
    <w:rsid w:val="00187E75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1FF"/>
    <w:rsid w:val="001A6D9F"/>
    <w:rsid w:val="001A7B36"/>
    <w:rsid w:val="001B1082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C1290"/>
    <w:rsid w:val="001C158B"/>
    <w:rsid w:val="001C1EF4"/>
    <w:rsid w:val="001C25E1"/>
    <w:rsid w:val="001C4622"/>
    <w:rsid w:val="001C64F9"/>
    <w:rsid w:val="001C66D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144"/>
    <w:rsid w:val="001E46B5"/>
    <w:rsid w:val="001E4748"/>
    <w:rsid w:val="001E4EC8"/>
    <w:rsid w:val="001E4FDE"/>
    <w:rsid w:val="001E5FE9"/>
    <w:rsid w:val="001E6279"/>
    <w:rsid w:val="001E6371"/>
    <w:rsid w:val="001E66B6"/>
    <w:rsid w:val="001E71BE"/>
    <w:rsid w:val="001E7561"/>
    <w:rsid w:val="001E7A32"/>
    <w:rsid w:val="001F0323"/>
    <w:rsid w:val="001F0DEB"/>
    <w:rsid w:val="001F46A7"/>
    <w:rsid w:val="001F5894"/>
    <w:rsid w:val="001F5BEE"/>
    <w:rsid w:val="001F6A45"/>
    <w:rsid w:val="0020036B"/>
    <w:rsid w:val="00200544"/>
    <w:rsid w:val="0020061D"/>
    <w:rsid w:val="0020217A"/>
    <w:rsid w:val="00202FFE"/>
    <w:rsid w:val="00206E46"/>
    <w:rsid w:val="002071E5"/>
    <w:rsid w:val="00207228"/>
    <w:rsid w:val="00211821"/>
    <w:rsid w:val="00213FE1"/>
    <w:rsid w:val="00214F4F"/>
    <w:rsid w:val="0021618C"/>
    <w:rsid w:val="002162CD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377F3"/>
    <w:rsid w:val="00242763"/>
    <w:rsid w:val="0024294C"/>
    <w:rsid w:val="0024311D"/>
    <w:rsid w:val="002431C2"/>
    <w:rsid w:val="0024363B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55863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37C7"/>
    <w:rsid w:val="002763CB"/>
    <w:rsid w:val="0027793D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1AB3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0C1"/>
    <w:rsid w:val="002A3293"/>
    <w:rsid w:val="002A3DC4"/>
    <w:rsid w:val="002A5311"/>
    <w:rsid w:val="002A5488"/>
    <w:rsid w:val="002A5509"/>
    <w:rsid w:val="002A5BCC"/>
    <w:rsid w:val="002B0B4B"/>
    <w:rsid w:val="002B3F41"/>
    <w:rsid w:val="002B43FE"/>
    <w:rsid w:val="002B4623"/>
    <w:rsid w:val="002B4A5B"/>
    <w:rsid w:val="002B5306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D71D6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56DC"/>
    <w:rsid w:val="002F64BF"/>
    <w:rsid w:val="00300C6E"/>
    <w:rsid w:val="003011D8"/>
    <w:rsid w:val="00303ED4"/>
    <w:rsid w:val="003073BF"/>
    <w:rsid w:val="00312225"/>
    <w:rsid w:val="0031260B"/>
    <w:rsid w:val="00313142"/>
    <w:rsid w:val="00313E04"/>
    <w:rsid w:val="00314AF9"/>
    <w:rsid w:val="00314F16"/>
    <w:rsid w:val="0031567C"/>
    <w:rsid w:val="0031664B"/>
    <w:rsid w:val="0031678A"/>
    <w:rsid w:val="00316C64"/>
    <w:rsid w:val="00316E65"/>
    <w:rsid w:val="003227C2"/>
    <w:rsid w:val="00322A5E"/>
    <w:rsid w:val="00322B3C"/>
    <w:rsid w:val="00323FCF"/>
    <w:rsid w:val="00325B11"/>
    <w:rsid w:val="00325F89"/>
    <w:rsid w:val="00325F8E"/>
    <w:rsid w:val="00326C1F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842"/>
    <w:rsid w:val="00346FD3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01E"/>
    <w:rsid w:val="003636EE"/>
    <w:rsid w:val="003637A9"/>
    <w:rsid w:val="00363F55"/>
    <w:rsid w:val="00363FDF"/>
    <w:rsid w:val="003645D3"/>
    <w:rsid w:val="00364728"/>
    <w:rsid w:val="00364CD5"/>
    <w:rsid w:val="00365D0A"/>
    <w:rsid w:val="00365D0B"/>
    <w:rsid w:val="00365FC7"/>
    <w:rsid w:val="003667C9"/>
    <w:rsid w:val="003673CC"/>
    <w:rsid w:val="0036758B"/>
    <w:rsid w:val="00370A43"/>
    <w:rsid w:val="00373250"/>
    <w:rsid w:val="00373E23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88"/>
    <w:rsid w:val="00384AB5"/>
    <w:rsid w:val="003870D0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8A0"/>
    <w:rsid w:val="003A3F95"/>
    <w:rsid w:val="003A4711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AFF"/>
    <w:rsid w:val="003D2EA5"/>
    <w:rsid w:val="003D300C"/>
    <w:rsid w:val="003D45CB"/>
    <w:rsid w:val="003D467F"/>
    <w:rsid w:val="003D548A"/>
    <w:rsid w:val="003D59C4"/>
    <w:rsid w:val="003D5B1B"/>
    <w:rsid w:val="003D5E0A"/>
    <w:rsid w:val="003D6EAE"/>
    <w:rsid w:val="003D7128"/>
    <w:rsid w:val="003D7F2C"/>
    <w:rsid w:val="003E13BC"/>
    <w:rsid w:val="003E4054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06EE4"/>
    <w:rsid w:val="00410186"/>
    <w:rsid w:val="0041109B"/>
    <w:rsid w:val="0041147C"/>
    <w:rsid w:val="0041197D"/>
    <w:rsid w:val="0041341B"/>
    <w:rsid w:val="004137A7"/>
    <w:rsid w:val="00413E0F"/>
    <w:rsid w:val="00414DEC"/>
    <w:rsid w:val="00415612"/>
    <w:rsid w:val="00415CE1"/>
    <w:rsid w:val="0041618F"/>
    <w:rsid w:val="00416B80"/>
    <w:rsid w:val="00416EEC"/>
    <w:rsid w:val="00417887"/>
    <w:rsid w:val="00417D8D"/>
    <w:rsid w:val="00420931"/>
    <w:rsid w:val="00420E1D"/>
    <w:rsid w:val="004226D5"/>
    <w:rsid w:val="004246FC"/>
    <w:rsid w:val="004249AE"/>
    <w:rsid w:val="004252B9"/>
    <w:rsid w:val="0042587B"/>
    <w:rsid w:val="00425E1C"/>
    <w:rsid w:val="00426B85"/>
    <w:rsid w:val="00427143"/>
    <w:rsid w:val="004277D7"/>
    <w:rsid w:val="00427F23"/>
    <w:rsid w:val="00430095"/>
    <w:rsid w:val="00430D3F"/>
    <w:rsid w:val="00431057"/>
    <w:rsid w:val="00431FAC"/>
    <w:rsid w:val="004348D2"/>
    <w:rsid w:val="004364E9"/>
    <w:rsid w:val="00437422"/>
    <w:rsid w:val="004378DA"/>
    <w:rsid w:val="004401EA"/>
    <w:rsid w:val="00440779"/>
    <w:rsid w:val="00444293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31"/>
    <w:rsid w:val="0047216D"/>
    <w:rsid w:val="00472B68"/>
    <w:rsid w:val="00473BBA"/>
    <w:rsid w:val="00474D5C"/>
    <w:rsid w:val="0047683B"/>
    <w:rsid w:val="004775CD"/>
    <w:rsid w:val="00480443"/>
    <w:rsid w:val="004819EB"/>
    <w:rsid w:val="00484AF8"/>
    <w:rsid w:val="00486375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CD4"/>
    <w:rsid w:val="00495D6A"/>
    <w:rsid w:val="00496E3E"/>
    <w:rsid w:val="0049724B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1F76"/>
    <w:rsid w:val="004C2605"/>
    <w:rsid w:val="004C2624"/>
    <w:rsid w:val="004C2D55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75E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4F5D"/>
    <w:rsid w:val="005054F6"/>
    <w:rsid w:val="0050678E"/>
    <w:rsid w:val="00511654"/>
    <w:rsid w:val="00511FAE"/>
    <w:rsid w:val="00512BFD"/>
    <w:rsid w:val="00514149"/>
    <w:rsid w:val="00515A3F"/>
    <w:rsid w:val="00515E12"/>
    <w:rsid w:val="00517B60"/>
    <w:rsid w:val="005226B4"/>
    <w:rsid w:val="00522C8F"/>
    <w:rsid w:val="005260C9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37CC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60492"/>
    <w:rsid w:val="005610BA"/>
    <w:rsid w:val="00561B10"/>
    <w:rsid w:val="00562A56"/>
    <w:rsid w:val="00564B0D"/>
    <w:rsid w:val="00564D0B"/>
    <w:rsid w:val="00565CA6"/>
    <w:rsid w:val="005667CB"/>
    <w:rsid w:val="00573761"/>
    <w:rsid w:val="00573F04"/>
    <w:rsid w:val="0057688C"/>
    <w:rsid w:val="0057719B"/>
    <w:rsid w:val="00577977"/>
    <w:rsid w:val="00577FF7"/>
    <w:rsid w:val="00580250"/>
    <w:rsid w:val="00580A1A"/>
    <w:rsid w:val="00580D78"/>
    <w:rsid w:val="0058246B"/>
    <w:rsid w:val="005828E8"/>
    <w:rsid w:val="0058372F"/>
    <w:rsid w:val="00584556"/>
    <w:rsid w:val="00584949"/>
    <w:rsid w:val="00585B04"/>
    <w:rsid w:val="00587672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3AB0"/>
    <w:rsid w:val="005A7EE0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D0CE9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42E"/>
    <w:rsid w:val="005E1C43"/>
    <w:rsid w:val="005E1F5E"/>
    <w:rsid w:val="005E2DE2"/>
    <w:rsid w:val="005E4178"/>
    <w:rsid w:val="005E41CF"/>
    <w:rsid w:val="005E6D91"/>
    <w:rsid w:val="005E7812"/>
    <w:rsid w:val="005F2554"/>
    <w:rsid w:val="005F290F"/>
    <w:rsid w:val="005F4680"/>
    <w:rsid w:val="005F51CE"/>
    <w:rsid w:val="005F5335"/>
    <w:rsid w:val="005F5997"/>
    <w:rsid w:val="005F7A79"/>
    <w:rsid w:val="00601F50"/>
    <w:rsid w:val="00601FFC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6C2"/>
    <w:rsid w:val="0062382F"/>
    <w:rsid w:val="00623D46"/>
    <w:rsid w:val="006253FE"/>
    <w:rsid w:val="006304A7"/>
    <w:rsid w:val="00631DC3"/>
    <w:rsid w:val="00632173"/>
    <w:rsid w:val="006336C2"/>
    <w:rsid w:val="006341C0"/>
    <w:rsid w:val="00636998"/>
    <w:rsid w:val="00640358"/>
    <w:rsid w:val="006406D8"/>
    <w:rsid w:val="00641C19"/>
    <w:rsid w:val="00646273"/>
    <w:rsid w:val="00650A04"/>
    <w:rsid w:val="00651485"/>
    <w:rsid w:val="00651994"/>
    <w:rsid w:val="00652B3E"/>
    <w:rsid w:val="006535DB"/>
    <w:rsid w:val="006535EB"/>
    <w:rsid w:val="00654FBC"/>
    <w:rsid w:val="00655C73"/>
    <w:rsid w:val="0065791E"/>
    <w:rsid w:val="0066127C"/>
    <w:rsid w:val="006618FA"/>
    <w:rsid w:val="00661E40"/>
    <w:rsid w:val="006627CC"/>
    <w:rsid w:val="00663C46"/>
    <w:rsid w:val="00664BA3"/>
    <w:rsid w:val="0066560F"/>
    <w:rsid w:val="0066614D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C47"/>
    <w:rsid w:val="0068581F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A4F20"/>
    <w:rsid w:val="006B0179"/>
    <w:rsid w:val="006B0598"/>
    <w:rsid w:val="006B081A"/>
    <w:rsid w:val="006B316C"/>
    <w:rsid w:val="006B395F"/>
    <w:rsid w:val="006B44A5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1C7B"/>
    <w:rsid w:val="006F1F6F"/>
    <w:rsid w:val="006F3E9B"/>
    <w:rsid w:val="006F55A5"/>
    <w:rsid w:val="006F7C8D"/>
    <w:rsid w:val="007007C2"/>
    <w:rsid w:val="007011BD"/>
    <w:rsid w:val="0070284B"/>
    <w:rsid w:val="00704465"/>
    <w:rsid w:val="007045F6"/>
    <w:rsid w:val="00706472"/>
    <w:rsid w:val="00706536"/>
    <w:rsid w:val="00706E8F"/>
    <w:rsid w:val="00707EDB"/>
    <w:rsid w:val="00711FAD"/>
    <w:rsid w:val="007124CB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0D90"/>
    <w:rsid w:val="007326A7"/>
    <w:rsid w:val="00732A64"/>
    <w:rsid w:val="007334D4"/>
    <w:rsid w:val="007334DD"/>
    <w:rsid w:val="00734C2A"/>
    <w:rsid w:val="00734E52"/>
    <w:rsid w:val="007351B0"/>
    <w:rsid w:val="007357E7"/>
    <w:rsid w:val="00735839"/>
    <w:rsid w:val="0073591F"/>
    <w:rsid w:val="0073651F"/>
    <w:rsid w:val="00736701"/>
    <w:rsid w:val="007373D9"/>
    <w:rsid w:val="007409AD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4AD3"/>
    <w:rsid w:val="0077521F"/>
    <w:rsid w:val="007762C7"/>
    <w:rsid w:val="00777422"/>
    <w:rsid w:val="00777A45"/>
    <w:rsid w:val="00777B6F"/>
    <w:rsid w:val="00777C69"/>
    <w:rsid w:val="0078219D"/>
    <w:rsid w:val="007825AF"/>
    <w:rsid w:val="007836DC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A7616"/>
    <w:rsid w:val="007B0187"/>
    <w:rsid w:val="007B02FF"/>
    <w:rsid w:val="007B3ACC"/>
    <w:rsid w:val="007B5680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28C7"/>
    <w:rsid w:val="007D3218"/>
    <w:rsid w:val="007D3D65"/>
    <w:rsid w:val="007D41CA"/>
    <w:rsid w:val="007D493C"/>
    <w:rsid w:val="007D60BF"/>
    <w:rsid w:val="007D75FC"/>
    <w:rsid w:val="007D7E09"/>
    <w:rsid w:val="007E1971"/>
    <w:rsid w:val="007E1CE9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2D1"/>
    <w:rsid w:val="00805BB3"/>
    <w:rsid w:val="00806492"/>
    <w:rsid w:val="00807036"/>
    <w:rsid w:val="008075A7"/>
    <w:rsid w:val="00807BB9"/>
    <w:rsid w:val="00807BDA"/>
    <w:rsid w:val="00811685"/>
    <w:rsid w:val="00812005"/>
    <w:rsid w:val="008122F7"/>
    <w:rsid w:val="00812754"/>
    <w:rsid w:val="00816723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46E"/>
    <w:rsid w:val="00833D42"/>
    <w:rsid w:val="008344EF"/>
    <w:rsid w:val="0083523E"/>
    <w:rsid w:val="008369A7"/>
    <w:rsid w:val="00836A46"/>
    <w:rsid w:val="008415D9"/>
    <w:rsid w:val="008419A2"/>
    <w:rsid w:val="00841CD9"/>
    <w:rsid w:val="00842CE5"/>
    <w:rsid w:val="0084424F"/>
    <w:rsid w:val="00844EAD"/>
    <w:rsid w:val="0084609F"/>
    <w:rsid w:val="008475D3"/>
    <w:rsid w:val="00850A99"/>
    <w:rsid w:val="00851A74"/>
    <w:rsid w:val="008530C4"/>
    <w:rsid w:val="00853385"/>
    <w:rsid w:val="008533B1"/>
    <w:rsid w:val="00853B27"/>
    <w:rsid w:val="008556D7"/>
    <w:rsid w:val="0085619E"/>
    <w:rsid w:val="00861D7D"/>
    <w:rsid w:val="00861F1A"/>
    <w:rsid w:val="008620EC"/>
    <w:rsid w:val="00862CC3"/>
    <w:rsid w:val="00864189"/>
    <w:rsid w:val="0086464C"/>
    <w:rsid w:val="008657E5"/>
    <w:rsid w:val="00866B8F"/>
    <w:rsid w:val="00867A12"/>
    <w:rsid w:val="00871996"/>
    <w:rsid w:val="00872945"/>
    <w:rsid w:val="00872C61"/>
    <w:rsid w:val="00873153"/>
    <w:rsid w:val="00873603"/>
    <w:rsid w:val="00873C0A"/>
    <w:rsid w:val="00873E2E"/>
    <w:rsid w:val="0087550C"/>
    <w:rsid w:val="00877AF9"/>
    <w:rsid w:val="00877C09"/>
    <w:rsid w:val="008808C5"/>
    <w:rsid w:val="00880BC2"/>
    <w:rsid w:val="00880D38"/>
    <w:rsid w:val="008815A5"/>
    <w:rsid w:val="008818C9"/>
    <w:rsid w:val="0088279C"/>
    <w:rsid w:val="00884C37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64B6"/>
    <w:rsid w:val="008964D6"/>
    <w:rsid w:val="00896D19"/>
    <w:rsid w:val="00897505"/>
    <w:rsid w:val="00897B3B"/>
    <w:rsid w:val="008A0A31"/>
    <w:rsid w:val="008A16BF"/>
    <w:rsid w:val="008A1835"/>
    <w:rsid w:val="008A2170"/>
    <w:rsid w:val="008A495C"/>
    <w:rsid w:val="008A4E94"/>
    <w:rsid w:val="008A4EB9"/>
    <w:rsid w:val="008A58CB"/>
    <w:rsid w:val="008A6BE4"/>
    <w:rsid w:val="008A7AB3"/>
    <w:rsid w:val="008A7D10"/>
    <w:rsid w:val="008B0025"/>
    <w:rsid w:val="008B069A"/>
    <w:rsid w:val="008B2D47"/>
    <w:rsid w:val="008B3EE8"/>
    <w:rsid w:val="008B45C7"/>
    <w:rsid w:val="008B46E2"/>
    <w:rsid w:val="008B59B5"/>
    <w:rsid w:val="008B644C"/>
    <w:rsid w:val="008B6799"/>
    <w:rsid w:val="008B75C8"/>
    <w:rsid w:val="008C0635"/>
    <w:rsid w:val="008C3356"/>
    <w:rsid w:val="008C446C"/>
    <w:rsid w:val="008C4DE5"/>
    <w:rsid w:val="008C5086"/>
    <w:rsid w:val="008C51C3"/>
    <w:rsid w:val="008C5A25"/>
    <w:rsid w:val="008C5BEE"/>
    <w:rsid w:val="008C6CA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33C1"/>
    <w:rsid w:val="008E3B56"/>
    <w:rsid w:val="008E4A26"/>
    <w:rsid w:val="008E4FCC"/>
    <w:rsid w:val="008E6B9F"/>
    <w:rsid w:val="008E6BEC"/>
    <w:rsid w:val="008F0DCD"/>
    <w:rsid w:val="008F1199"/>
    <w:rsid w:val="008F18A3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18D"/>
    <w:rsid w:val="0091668C"/>
    <w:rsid w:val="009169B8"/>
    <w:rsid w:val="00917303"/>
    <w:rsid w:val="009175C8"/>
    <w:rsid w:val="00917DA3"/>
    <w:rsid w:val="00917F45"/>
    <w:rsid w:val="0092064F"/>
    <w:rsid w:val="0092132D"/>
    <w:rsid w:val="00923FE2"/>
    <w:rsid w:val="00924214"/>
    <w:rsid w:val="00924280"/>
    <w:rsid w:val="0092536C"/>
    <w:rsid w:val="00925615"/>
    <w:rsid w:val="009257DF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502F0"/>
    <w:rsid w:val="00950660"/>
    <w:rsid w:val="00951CD1"/>
    <w:rsid w:val="00953637"/>
    <w:rsid w:val="00954E72"/>
    <w:rsid w:val="00955E54"/>
    <w:rsid w:val="00956142"/>
    <w:rsid w:val="00957318"/>
    <w:rsid w:val="0096122A"/>
    <w:rsid w:val="00962155"/>
    <w:rsid w:val="00962B6B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828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6E35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19F1"/>
    <w:rsid w:val="009B40F7"/>
    <w:rsid w:val="009B5CF4"/>
    <w:rsid w:val="009B6B19"/>
    <w:rsid w:val="009C0316"/>
    <w:rsid w:val="009C1E1D"/>
    <w:rsid w:val="009C282A"/>
    <w:rsid w:val="009C4005"/>
    <w:rsid w:val="009C4F69"/>
    <w:rsid w:val="009C5C59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17A1"/>
    <w:rsid w:val="009E2747"/>
    <w:rsid w:val="009E3446"/>
    <w:rsid w:val="009E448C"/>
    <w:rsid w:val="009E5409"/>
    <w:rsid w:val="009E5D14"/>
    <w:rsid w:val="009E60CD"/>
    <w:rsid w:val="009F110A"/>
    <w:rsid w:val="009F151D"/>
    <w:rsid w:val="009F1F01"/>
    <w:rsid w:val="009F320F"/>
    <w:rsid w:val="009F371F"/>
    <w:rsid w:val="009F5327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83E"/>
    <w:rsid w:val="00A05DF0"/>
    <w:rsid w:val="00A0667E"/>
    <w:rsid w:val="00A06C49"/>
    <w:rsid w:val="00A07EF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D8E"/>
    <w:rsid w:val="00A26DF2"/>
    <w:rsid w:val="00A27A0C"/>
    <w:rsid w:val="00A307C4"/>
    <w:rsid w:val="00A31B19"/>
    <w:rsid w:val="00A3760A"/>
    <w:rsid w:val="00A415B6"/>
    <w:rsid w:val="00A44AEF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E73"/>
    <w:rsid w:val="00A76AA4"/>
    <w:rsid w:val="00A774B2"/>
    <w:rsid w:val="00A77F00"/>
    <w:rsid w:val="00A80DE2"/>
    <w:rsid w:val="00A8218B"/>
    <w:rsid w:val="00A82468"/>
    <w:rsid w:val="00A82539"/>
    <w:rsid w:val="00A83E0D"/>
    <w:rsid w:val="00A845DC"/>
    <w:rsid w:val="00A8526F"/>
    <w:rsid w:val="00A854D1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4C9D"/>
    <w:rsid w:val="00AB5520"/>
    <w:rsid w:val="00AB5EA0"/>
    <w:rsid w:val="00AB77D7"/>
    <w:rsid w:val="00AB7C79"/>
    <w:rsid w:val="00AB7F68"/>
    <w:rsid w:val="00AC215C"/>
    <w:rsid w:val="00AC2E0E"/>
    <w:rsid w:val="00AC384B"/>
    <w:rsid w:val="00AC491E"/>
    <w:rsid w:val="00AC5F0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836"/>
    <w:rsid w:val="00B13924"/>
    <w:rsid w:val="00B13C8B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E03"/>
    <w:rsid w:val="00B3743F"/>
    <w:rsid w:val="00B4001E"/>
    <w:rsid w:val="00B40197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4D83"/>
    <w:rsid w:val="00B55ACC"/>
    <w:rsid w:val="00B55F46"/>
    <w:rsid w:val="00B5613C"/>
    <w:rsid w:val="00B56CD9"/>
    <w:rsid w:val="00B574A4"/>
    <w:rsid w:val="00B600B1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040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0B20"/>
    <w:rsid w:val="00BA2380"/>
    <w:rsid w:val="00BA250E"/>
    <w:rsid w:val="00BA33A6"/>
    <w:rsid w:val="00BA52D2"/>
    <w:rsid w:val="00BB2868"/>
    <w:rsid w:val="00BB2BB8"/>
    <w:rsid w:val="00BB406C"/>
    <w:rsid w:val="00BB7706"/>
    <w:rsid w:val="00BC01AE"/>
    <w:rsid w:val="00BC109C"/>
    <w:rsid w:val="00BC1BF0"/>
    <w:rsid w:val="00BC1CA7"/>
    <w:rsid w:val="00BC30F0"/>
    <w:rsid w:val="00BC3C4D"/>
    <w:rsid w:val="00BC421F"/>
    <w:rsid w:val="00BC48E2"/>
    <w:rsid w:val="00BC48EB"/>
    <w:rsid w:val="00BC70FB"/>
    <w:rsid w:val="00BD29FC"/>
    <w:rsid w:val="00BD3793"/>
    <w:rsid w:val="00BD3A77"/>
    <w:rsid w:val="00BD3F59"/>
    <w:rsid w:val="00BD4B1B"/>
    <w:rsid w:val="00BD4EE2"/>
    <w:rsid w:val="00BD53A9"/>
    <w:rsid w:val="00BD6F67"/>
    <w:rsid w:val="00BD7117"/>
    <w:rsid w:val="00BD74A9"/>
    <w:rsid w:val="00BD783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88C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BB2"/>
    <w:rsid w:val="00C03C52"/>
    <w:rsid w:val="00C04A6C"/>
    <w:rsid w:val="00C05381"/>
    <w:rsid w:val="00C05511"/>
    <w:rsid w:val="00C10525"/>
    <w:rsid w:val="00C114ED"/>
    <w:rsid w:val="00C1296B"/>
    <w:rsid w:val="00C150D0"/>
    <w:rsid w:val="00C21ED8"/>
    <w:rsid w:val="00C23B75"/>
    <w:rsid w:val="00C23F4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5DF9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2D8"/>
    <w:rsid w:val="00C537E5"/>
    <w:rsid w:val="00C53F68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55F"/>
    <w:rsid w:val="00C62999"/>
    <w:rsid w:val="00C636DE"/>
    <w:rsid w:val="00C63DCB"/>
    <w:rsid w:val="00C66707"/>
    <w:rsid w:val="00C70676"/>
    <w:rsid w:val="00C707E4"/>
    <w:rsid w:val="00C70FFF"/>
    <w:rsid w:val="00C72C16"/>
    <w:rsid w:val="00C73747"/>
    <w:rsid w:val="00C73856"/>
    <w:rsid w:val="00C742FB"/>
    <w:rsid w:val="00C745F6"/>
    <w:rsid w:val="00C74D25"/>
    <w:rsid w:val="00C74DF1"/>
    <w:rsid w:val="00C8048E"/>
    <w:rsid w:val="00C8071B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1AA"/>
    <w:rsid w:val="00CA4A04"/>
    <w:rsid w:val="00CA5234"/>
    <w:rsid w:val="00CA6622"/>
    <w:rsid w:val="00CA67C7"/>
    <w:rsid w:val="00CA6B34"/>
    <w:rsid w:val="00CB122F"/>
    <w:rsid w:val="00CB1995"/>
    <w:rsid w:val="00CB37B0"/>
    <w:rsid w:val="00CB3943"/>
    <w:rsid w:val="00CB4333"/>
    <w:rsid w:val="00CB59E1"/>
    <w:rsid w:val="00CB6708"/>
    <w:rsid w:val="00CB68FC"/>
    <w:rsid w:val="00CB6C65"/>
    <w:rsid w:val="00CB7E28"/>
    <w:rsid w:val="00CC1584"/>
    <w:rsid w:val="00CC1DFA"/>
    <w:rsid w:val="00CC2016"/>
    <w:rsid w:val="00CC3045"/>
    <w:rsid w:val="00CC3760"/>
    <w:rsid w:val="00CC3E95"/>
    <w:rsid w:val="00CC49A2"/>
    <w:rsid w:val="00CC4AEC"/>
    <w:rsid w:val="00CC4D82"/>
    <w:rsid w:val="00CC5D74"/>
    <w:rsid w:val="00CC66D9"/>
    <w:rsid w:val="00CC75DE"/>
    <w:rsid w:val="00CD0279"/>
    <w:rsid w:val="00CD040E"/>
    <w:rsid w:val="00CD08BD"/>
    <w:rsid w:val="00CD12F4"/>
    <w:rsid w:val="00CD3C40"/>
    <w:rsid w:val="00CD4B93"/>
    <w:rsid w:val="00CD6150"/>
    <w:rsid w:val="00CD68BF"/>
    <w:rsid w:val="00CD78C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E7A87"/>
    <w:rsid w:val="00CF1533"/>
    <w:rsid w:val="00CF2E58"/>
    <w:rsid w:val="00CF34BA"/>
    <w:rsid w:val="00CF3B36"/>
    <w:rsid w:val="00CF3E1A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7FBA"/>
    <w:rsid w:val="00D4032D"/>
    <w:rsid w:val="00D42D92"/>
    <w:rsid w:val="00D434D2"/>
    <w:rsid w:val="00D437E7"/>
    <w:rsid w:val="00D43C01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486E"/>
    <w:rsid w:val="00D84C64"/>
    <w:rsid w:val="00D851BA"/>
    <w:rsid w:val="00D8564C"/>
    <w:rsid w:val="00D876F3"/>
    <w:rsid w:val="00D90826"/>
    <w:rsid w:val="00D9120D"/>
    <w:rsid w:val="00D92AA4"/>
    <w:rsid w:val="00D92BEA"/>
    <w:rsid w:val="00D92F7C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32DB"/>
    <w:rsid w:val="00DA3F93"/>
    <w:rsid w:val="00DA435A"/>
    <w:rsid w:val="00DA5C3C"/>
    <w:rsid w:val="00DA6DC7"/>
    <w:rsid w:val="00DA6E79"/>
    <w:rsid w:val="00DB05E2"/>
    <w:rsid w:val="00DB1C17"/>
    <w:rsid w:val="00DB27AE"/>
    <w:rsid w:val="00DB367C"/>
    <w:rsid w:val="00DB459A"/>
    <w:rsid w:val="00DB4992"/>
    <w:rsid w:val="00DB56B1"/>
    <w:rsid w:val="00DB5E30"/>
    <w:rsid w:val="00DC037C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E0934"/>
    <w:rsid w:val="00DE16B2"/>
    <w:rsid w:val="00DE2B79"/>
    <w:rsid w:val="00DE3805"/>
    <w:rsid w:val="00DE474E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924"/>
    <w:rsid w:val="00DF740D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6D81"/>
    <w:rsid w:val="00E17F03"/>
    <w:rsid w:val="00E204D6"/>
    <w:rsid w:val="00E20837"/>
    <w:rsid w:val="00E21D7E"/>
    <w:rsid w:val="00E22F3B"/>
    <w:rsid w:val="00E231E1"/>
    <w:rsid w:val="00E236A1"/>
    <w:rsid w:val="00E240A4"/>
    <w:rsid w:val="00E24599"/>
    <w:rsid w:val="00E2464D"/>
    <w:rsid w:val="00E249A1"/>
    <w:rsid w:val="00E275F5"/>
    <w:rsid w:val="00E303E2"/>
    <w:rsid w:val="00E30E9D"/>
    <w:rsid w:val="00E33368"/>
    <w:rsid w:val="00E3340A"/>
    <w:rsid w:val="00E33D59"/>
    <w:rsid w:val="00E34229"/>
    <w:rsid w:val="00E37598"/>
    <w:rsid w:val="00E377C5"/>
    <w:rsid w:val="00E42529"/>
    <w:rsid w:val="00E4334F"/>
    <w:rsid w:val="00E43E78"/>
    <w:rsid w:val="00E44121"/>
    <w:rsid w:val="00E447DE"/>
    <w:rsid w:val="00E459BD"/>
    <w:rsid w:val="00E46A58"/>
    <w:rsid w:val="00E47992"/>
    <w:rsid w:val="00E5074A"/>
    <w:rsid w:val="00E5140A"/>
    <w:rsid w:val="00E51D44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4D"/>
    <w:rsid w:val="00E6525F"/>
    <w:rsid w:val="00E65395"/>
    <w:rsid w:val="00E66586"/>
    <w:rsid w:val="00E66C0F"/>
    <w:rsid w:val="00E721FF"/>
    <w:rsid w:val="00E74570"/>
    <w:rsid w:val="00E75E0A"/>
    <w:rsid w:val="00E75EFC"/>
    <w:rsid w:val="00E772C7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1E22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A6C69"/>
    <w:rsid w:val="00EB0ABA"/>
    <w:rsid w:val="00EB10BE"/>
    <w:rsid w:val="00EB250B"/>
    <w:rsid w:val="00EB2EAD"/>
    <w:rsid w:val="00EB2F69"/>
    <w:rsid w:val="00EB3094"/>
    <w:rsid w:val="00EB3138"/>
    <w:rsid w:val="00EB45DC"/>
    <w:rsid w:val="00EB47C8"/>
    <w:rsid w:val="00EB5F17"/>
    <w:rsid w:val="00EC0444"/>
    <w:rsid w:val="00EC4262"/>
    <w:rsid w:val="00EC56B9"/>
    <w:rsid w:val="00EC642C"/>
    <w:rsid w:val="00EC67BA"/>
    <w:rsid w:val="00EC6CCA"/>
    <w:rsid w:val="00EC73D5"/>
    <w:rsid w:val="00ED44E9"/>
    <w:rsid w:val="00ED453F"/>
    <w:rsid w:val="00ED7E90"/>
    <w:rsid w:val="00ED7FEC"/>
    <w:rsid w:val="00EE0278"/>
    <w:rsid w:val="00EE10F5"/>
    <w:rsid w:val="00EE1A1D"/>
    <w:rsid w:val="00EE1B60"/>
    <w:rsid w:val="00EE263E"/>
    <w:rsid w:val="00EE2A6F"/>
    <w:rsid w:val="00EE2E76"/>
    <w:rsid w:val="00EE39FD"/>
    <w:rsid w:val="00EE3DB1"/>
    <w:rsid w:val="00EE4EB4"/>
    <w:rsid w:val="00EE6065"/>
    <w:rsid w:val="00EE6133"/>
    <w:rsid w:val="00EE62D3"/>
    <w:rsid w:val="00EE6F4E"/>
    <w:rsid w:val="00EE737C"/>
    <w:rsid w:val="00EE7B03"/>
    <w:rsid w:val="00EF0CF6"/>
    <w:rsid w:val="00EF384F"/>
    <w:rsid w:val="00EF541D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CE9"/>
    <w:rsid w:val="00F111A0"/>
    <w:rsid w:val="00F11C49"/>
    <w:rsid w:val="00F1234C"/>
    <w:rsid w:val="00F12946"/>
    <w:rsid w:val="00F12D6A"/>
    <w:rsid w:val="00F15AF7"/>
    <w:rsid w:val="00F15CD3"/>
    <w:rsid w:val="00F21C36"/>
    <w:rsid w:val="00F22B9A"/>
    <w:rsid w:val="00F27638"/>
    <w:rsid w:val="00F32319"/>
    <w:rsid w:val="00F329D6"/>
    <w:rsid w:val="00F33D21"/>
    <w:rsid w:val="00F33F20"/>
    <w:rsid w:val="00F34739"/>
    <w:rsid w:val="00F3558D"/>
    <w:rsid w:val="00F365D0"/>
    <w:rsid w:val="00F36660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48A"/>
    <w:rsid w:val="00F54910"/>
    <w:rsid w:val="00F54E0A"/>
    <w:rsid w:val="00F55B02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5E03"/>
    <w:rsid w:val="00F76405"/>
    <w:rsid w:val="00F76858"/>
    <w:rsid w:val="00F7780D"/>
    <w:rsid w:val="00F7793E"/>
    <w:rsid w:val="00F81C3F"/>
    <w:rsid w:val="00F8229D"/>
    <w:rsid w:val="00F82AFF"/>
    <w:rsid w:val="00F836CE"/>
    <w:rsid w:val="00F84105"/>
    <w:rsid w:val="00F84446"/>
    <w:rsid w:val="00F84642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5F66"/>
    <w:rsid w:val="00F967F7"/>
    <w:rsid w:val="00F97A53"/>
    <w:rsid w:val="00F97CF3"/>
    <w:rsid w:val="00FA27F3"/>
    <w:rsid w:val="00FA3DF2"/>
    <w:rsid w:val="00FA508A"/>
    <w:rsid w:val="00FA5EF7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082F"/>
    <w:rsid w:val="00FD1552"/>
    <w:rsid w:val="00FD2AD6"/>
    <w:rsid w:val="00FD5678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88C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6A1A84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EF0C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- Bullets,列出段落,?? ??,?????,????,목록 단락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1E4EC8"/>
    <w:rPr>
      <w:b/>
      <w:sz w:val="30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F0CF6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- Bullets Char,列出段落 Char,?? ?? Char,????? Char,???? Char,목록 단락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iPriority w:val="99"/>
    <w:unhideWhenUsed/>
    <w:qFormat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LightShading">
    <w:name w:val="Light Shading"/>
    <w:basedOn w:val="Table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Heading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86/Docs/RP-192670.zip" TargetMode="External"/><Relationship Id="rId18" Type="http://schemas.openxmlformats.org/officeDocument/2006/relationships/hyperlink" Target="https://www.3gpp.org/ftp/TSG_RAN/WG1_RL1/TSGR1_104-e/Docs/R1-210177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marsat.com/en/about/technology/our-roadmap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yperlink" Target="https://the-mobile-network.com/2020/11/nb-iot-rollout-good-but-not-good-enough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89e/Docs/RP-201702.zip" TargetMode="External"/><Relationship Id="rId20" Type="http://schemas.openxmlformats.org/officeDocument/2006/relationships/hyperlink" Target="https://www.inmarsat.com/en/solutions-services/enterprise/solutions/iot-solutions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nmarsat.com/en/news/latest-news/corporate/2020/successful-trial-advances-global-5g-iot-communications.htm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ngmn.org/wp-content/uploads/191209-NGMN-Non-Terrestrial-Networks-Position-Paper-r1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91e/Inbox/Drafts/Draft_RP-210XXX_SR_%20FS_LTE_NBIOT_eMTC_NTN/RP-210XXX-Status%20Report%20for%20RP91%20of%20Study%20on%20IoT%20NTN-V02.docx" TargetMode="External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70FE1-EDD3-441D-9F33-2BBD2A85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5</Pages>
  <Words>1686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Luca.Lodigiani@inmarsat.com</dc:creator>
  <cp:lastModifiedBy>Luca Lodigiani</cp:lastModifiedBy>
  <cp:revision>42</cp:revision>
  <cp:lastPrinted>2017-11-07T14:24:00Z</cp:lastPrinted>
  <dcterms:created xsi:type="dcterms:W3CDTF">2021-03-01T23:23:00Z</dcterms:created>
  <dcterms:modified xsi:type="dcterms:W3CDTF">2021-03-15T18:56:00Z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215603bf-d331-4615-a04c-c64506795477_Enabled">
    <vt:lpwstr>true</vt:lpwstr>
  </property>
  <property fmtid="{D5CDD505-2E9C-101B-9397-08002B2CF9AE}" pid="4" name="MSIP_Label_215603bf-d331-4615-a04c-c64506795477_SetDate">
    <vt:lpwstr>2021-03-15T18:56:30Z</vt:lpwstr>
  </property>
  <property fmtid="{D5CDD505-2E9C-101B-9397-08002B2CF9AE}" pid="5" name="MSIP_Label_215603bf-d331-4615-a04c-c64506795477_Method">
    <vt:lpwstr>Privileged</vt:lpwstr>
  </property>
  <property fmtid="{D5CDD505-2E9C-101B-9397-08002B2CF9AE}" pid="6" name="MSIP_Label_215603bf-d331-4615-a04c-c64506795477_Name">
    <vt:lpwstr>Public</vt:lpwstr>
  </property>
  <property fmtid="{D5CDD505-2E9C-101B-9397-08002B2CF9AE}" pid="7" name="MSIP_Label_215603bf-d331-4615-a04c-c64506795477_SiteId">
    <vt:lpwstr>43eba056-5ca4-4871-89ac-bdd09160ce7e</vt:lpwstr>
  </property>
  <property fmtid="{D5CDD505-2E9C-101B-9397-08002B2CF9AE}" pid="8" name="MSIP_Label_215603bf-d331-4615-a04c-c64506795477_ActionId">
    <vt:lpwstr>3da60c7c-e1b6-4a4a-a274-87550cfc5ea0</vt:lpwstr>
  </property>
  <property fmtid="{D5CDD505-2E9C-101B-9397-08002B2CF9AE}" pid="9" name="MSIP_Label_215603bf-d331-4615-a04c-c64506795477_ContentBits">
    <vt:lpwstr>2</vt:lpwstr>
  </property>
</Properties>
</file>